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default" w:ascii="Times New Roman" w:hAnsi="Times New Roman" w:cs="Times New Roman"/>
          <w:color w:val="auto"/>
        </w:rPr>
      </w:pPr>
    </w:p>
    <w:p>
      <w:pPr>
        <w:bidi w:val="0"/>
        <w:rPr>
          <w:rFonts w:hint="default" w:ascii="Times New Roman" w:hAnsi="Times New Roman" w:cs="Times New Roman"/>
          <w:color w:val="auto"/>
        </w:rPr>
      </w:pPr>
    </w:p>
    <w:p>
      <w:pPr>
        <w:bidi w:val="0"/>
        <w:rPr>
          <w:rFonts w:hint="default" w:ascii="Times New Roman" w:hAnsi="Times New Roman" w:cs="Times New Roman"/>
          <w:color w:val="auto"/>
        </w:rPr>
      </w:pPr>
    </w:p>
    <w:p>
      <w:pPr>
        <w:bidi w:val="0"/>
        <w:ind w:left="0" w:leftChars="0" w:firstLine="0" w:firstLineChars="0"/>
        <w:jc w:val="center"/>
        <w:rPr>
          <w:rFonts w:hint="default" w:ascii="Times New Roman" w:hAnsi="Times New Roman" w:eastAsia="宋体" w:cs="Times New Roman"/>
          <w:b/>
          <w:bCs/>
          <w:color w:val="auto"/>
          <w:kern w:val="2"/>
          <w:sz w:val="52"/>
          <w:szCs w:val="52"/>
          <w:lang w:val="en-US" w:eastAsia="zh-CN" w:bidi="ar-SA"/>
        </w:rPr>
      </w:pPr>
      <w:r>
        <w:rPr>
          <w:rFonts w:hint="default" w:ascii="Times New Roman" w:hAnsi="Times New Roman" w:eastAsia="宋体" w:cs="Times New Roman"/>
          <w:b/>
          <w:bCs/>
          <w:color w:val="auto"/>
          <w:kern w:val="2"/>
          <w:sz w:val="52"/>
          <w:szCs w:val="52"/>
          <w:lang w:val="en-US" w:eastAsia="zh-CN" w:bidi="ar-SA"/>
        </w:rPr>
        <w:t>山东省润泰新材料有限公司</w:t>
      </w:r>
    </w:p>
    <w:p>
      <w:pPr>
        <w:bidi w:val="0"/>
        <w:ind w:left="0" w:leftChars="0" w:right="0" w:rightChars="0" w:firstLine="0" w:firstLineChars="0"/>
        <w:jc w:val="center"/>
        <w:rPr>
          <w:rFonts w:hint="default" w:ascii="Times New Roman" w:hAnsi="Times New Roman" w:cs="Times New Roman"/>
          <w:b/>
          <w:bCs/>
          <w:color w:val="auto"/>
          <w:sz w:val="52"/>
          <w:szCs w:val="52"/>
        </w:rPr>
      </w:pPr>
      <w:r>
        <w:rPr>
          <w:rFonts w:hint="default" w:ascii="Times New Roman" w:hAnsi="Times New Roman" w:cs="Times New Roman"/>
          <w:b/>
          <w:bCs/>
          <w:color w:val="auto"/>
          <w:sz w:val="52"/>
          <w:szCs w:val="52"/>
        </w:rPr>
        <mc:AlternateContent>
          <mc:Choice Requires="wpg">
            <w:drawing>
              <wp:anchor distT="0" distB="0" distL="114300" distR="114300" simplePos="0" relativeHeight="251662336" behindDoc="0" locked="0" layoutInCell="1" allowOverlap="1">
                <wp:simplePos x="0" y="0"/>
                <wp:positionH relativeFrom="column">
                  <wp:posOffset>171450</wp:posOffset>
                </wp:positionH>
                <wp:positionV relativeFrom="paragraph">
                  <wp:posOffset>121920</wp:posOffset>
                </wp:positionV>
                <wp:extent cx="5400675" cy="99695"/>
                <wp:effectExtent l="0" t="4445" r="9525" b="29210"/>
                <wp:wrapNone/>
                <wp:docPr id="24" name="组合 1"/>
                <wp:cNvGraphicFramePr/>
                <a:graphic xmlns:a="http://schemas.openxmlformats.org/drawingml/2006/main">
                  <a:graphicData uri="http://schemas.microsoft.com/office/word/2010/wordprocessingGroup">
                    <wpg:wgp>
                      <wpg:cNvGrpSpPr/>
                      <wpg:grpSpPr>
                        <a:xfrm>
                          <a:off x="0" y="0"/>
                          <a:ext cx="5400675" cy="99695"/>
                          <a:chOff x="0" y="0"/>
                          <a:chExt cx="8505" cy="157"/>
                        </a:xfrm>
                        <a:effectLst/>
                      </wpg:grpSpPr>
                      <wps:wsp>
                        <wps:cNvPr id="20" name="Line 3"/>
                        <wps:cNvCnPr/>
                        <wps:spPr>
                          <a:xfrm>
                            <a:off x="0" y="157"/>
                            <a:ext cx="8505" cy="0"/>
                          </a:xfrm>
                          <a:prstGeom prst="line">
                            <a:avLst/>
                          </a:prstGeom>
                          <a:ln w="38100" cap="flat" cmpd="sng">
                            <a:solidFill>
                              <a:srgbClr val="000000"/>
                            </a:solidFill>
                            <a:prstDash val="solid"/>
                            <a:headEnd type="none" w="med" len="med"/>
                            <a:tailEnd type="none" w="med" len="med"/>
                          </a:ln>
                          <a:effectLst/>
                        </wps:spPr>
                        <wps:bodyPr upright="1"/>
                      </wps:wsp>
                      <wps:wsp>
                        <wps:cNvPr id="21" name="Line 4"/>
                        <wps:cNvCnPr/>
                        <wps:spPr>
                          <a:xfrm>
                            <a:off x="0" y="1"/>
                            <a:ext cx="8505" cy="0"/>
                          </a:xfrm>
                          <a:prstGeom prst="line">
                            <a:avLst/>
                          </a:prstGeom>
                          <a:ln w="9525" cap="flat" cmpd="sng">
                            <a:solidFill>
                              <a:srgbClr val="000000"/>
                            </a:solidFill>
                            <a:prstDash val="solid"/>
                            <a:headEnd type="none" w="med" len="med"/>
                            <a:tailEnd type="none" w="med" len="med"/>
                          </a:ln>
                          <a:effectLst/>
                        </wps:spPr>
                        <wps:bodyPr upright="1"/>
                      </wps:wsp>
                      <wps:wsp>
                        <wps:cNvPr id="22" name="Line 5"/>
                        <wps:cNvCnPr/>
                        <wps:spPr>
                          <a:xfrm>
                            <a:off x="0" y="0"/>
                            <a:ext cx="8505" cy="0"/>
                          </a:xfrm>
                          <a:prstGeom prst="line">
                            <a:avLst/>
                          </a:prstGeom>
                          <a:ln w="9525" cap="flat" cmpd="sng">
                            <a:solidFill>
                              <a:srgbClr val="000000"/>
                            </a:solidFill>
                            <a:prstDash val="solid"/>
                            <a:headEnd type="none" w="med" len="med"/>
                            <a:tailEnd type="none" w="med" len="med"/>
                          </a:ln>
                          <a:effectLst/>
                        </wps:spPr>
                        <wps:bodyPr upright="1"/>
                      </wps:wsp>
                      <wps:wsp>
                        <wps:cNvPr id="23" name="Line 6"/>
                        <wps:cNvCnPr/>
                        <wps:spPr>
                          <a:xfrm>
                            <a:off x="0" y="152"/>
                            <a:ext cx="8505" cy="0"/>
                          </a:xfrm>
                          <a:prstGeom prst="line">
                            <a:avLst/>
                          </a:prstGeom>
                          <a:ln w="38100" cap="flat" cmpd="sng">
                            <a:solidFill>
                              <a:srgbClr val="000000"/>
                            </a:solidFill>
                            <a:prstDash val="solid"/>
                            <a:headEnd type="none" w="med" len="med"/>
                            <a:tailEnd type="none" w="med" len="med"/>
                          </a:ln>
                          <a:effectLst/>
                        </wps:spPr>
                        <wps:bodyPr upright="1"/>
                      </wps:wsp>
                    </wpg:wgp>
                  </a:graphicData>
                </a:graphic>
              </wp:anchor>
            </w:drawing>
          </mc:Choice>
          <mc:Fallback>
            <w:pict>
              <v:group id="组合 1" o:spid="_x0000_s1026" o:spt="203" style="position:absolute;left:0pt;margin-left:13.5pt;margin-top:9.6pt;height:7.85pt;width:425.25pt;z-index:251662336;mso-width-relative:page;mso-height-relative:page;" coordsize="8505,157" o:gfxdata="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oLS/X9oAAAAIAQAADwAAAAAAAAABACAAAAAiAAAAZHJzL2Rvd25yZXYueG1sUEsB&#10;AhQAFAAAAAgAh07iQKgaGSueAgAANwsAAA4AAAAAAAAAAQAgAAAAKQEAAGRycy9lMm9Eb2MueG1s&#10;UEsFBgAAAAAGAAYAWQEAADkGAAAAAA==&#10;">
                <o:lock v:ext="edit" aspectratio="f"/>
                <v:line id="Line 3" o:spid="_x0000_s1026" o:spt="20" style="position:absolute;left:0;top:157;height:0;width:8505;" filled="f" stroked="t" coordsize="21600,21600" o:gfxdata="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MHhaG5AAAA2wAA&#10;AA8AAAAAAAAAAQAgAAAAIgAAAGRycy9kb3ducmV2LnhtbFBLAQIUABQAAAAIAIdO4kAzLwWeOwAA&#10;ADkAAAAQAAAAAAAAAAEAIAAAAAgBAABkcnMvc2hhcGV4bWwueG1sUEsFBgAAAAAGAAYAWwEAALID&#10;AAAAAA==&#10;">
                  <v:fill on="f" focussize="0,0"/>
                  <v:stroke weight="3pt" color="#000000" joinstyle="round"/>
                  <v:imagedata o:title=""/>
                  <o:lock v:ext="edit" aspectratio="f"/>
                </v:line>
                <v:line id="Line 4" o:spid="_x0000_s1026" o:spt="20" style="position:absolute;left:0;top:1;height:0;width:8505;" filled="f" stroked="t" coordsize="21600,21600" o:gfxdata="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cv46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5" o:spid="_x0000_s1026" o:spt="20" style="position:absolute;left:0;top:0;height:0;width:8505;" filled="f" stroked="t" coordsize="21600,21600" o:gfxdata="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ziH5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6" o:spid="_x0000_s1026" o:spt="20" style="position:absolute;left:0;top:152;height:0;width:8505;" filled="f" stroked="t" coordsize="21600,21600" o:gfxdata="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9Ub1rsAAADb&#10;AAAADwAAAAAAAAABACAAAAAiAAAAZHJzL2Rvd25yZXYueG1sUEsBAhQAFAAAAAgAh07iQDMvBZ47&#10;AAAAOQAAABAAAAAAAAAAAQAgAAAACgEAAGRycy9zaGFwZXhtbC54bWxQSwUGAAAAAAYABgBbAQAA&#10;tAMAAAAA&#10;">
                  <v:fill on="f" focussize="0,0"/>
                  <v:stroke weight="3pt" color="#000000" joinstyle="round"/>
                  <v:imagedata o:title=""/>
                  <o:lock v:ext="edit" aspectratio="f"/>
                </v:line>
              </v:group>
            </w:pict>
          </mc:Fallback>
        </mc:AlternateContent>
      </w:r>
    </w:p>
    <w:p>
      <w:pPr>
        <w:bidi w:val="0"/>
        <w:ind w:left="0" w:leftChars="0" w:firstLine="0" w:firstLineChars="0"/>
        <w:jc w:val="center"/>
        <w:rPr>
          <w:rFonts w:hint="default" w:ascii="Times New Roman" w:hAnsi="Times New Roman" w:eastAsia="宋体" w:cs="Times New Roman"/>
          <w:b/>
          <w:bCs/>
          <w:color w:val="auto"/>
          <w:kern w:val="2"/>
          <w:sz w:val="52"/>
          <w:szCs w:val="52"/>
          <w:lang w:val="en-US" w:eastAsia="zh-CN" w:bidi="ar-SA"/>
        </w:rPr>
      </w:pPr>
      <w:bookmarkStart w:id="0" w:name="_Toc27181"/>
      <w:bookmarkStart w:id="1" w:name="_Toc25304"/>
      <w:bookmarkStart w:id="2" w:name="_Toc4196"/>
      <w:r>
        <w:rPr>
          <w:rFonts w:hint="default" w:ascii="Times New Roman" w:hAnsi="Times New Roman" w:eastAsia="宋体" w:cs="Times New Roman"/>
          <w:b/>
          <w:bCs/>
          <w:color w:val="auto"/>
          <w:kern w:val="2"/>
          <w:sz w:val="52"/>
          <w:szCs w:val="52"/>
          <w:lang w:val="en-US" w:eastAsia="zh-CN" w:bidi="ar-SA"/>
        </w:rPr>
        <w:t>突发环境事件风险评估报告</w:t>
      </w:r>
      <w:bookmarkEnd w:id="0"/>
      <w:bookmarkEnd w:id="1"/>
      <w:bookmarkEnd w:id="2"/>
    </w:p>
    <w:p>
      <w:pPr>
        <w:bidi w:val="0"/>
        <w:ind w:left="0" w:leftChars="0" w:firstLine="0" w:firstLineChars="0"/>
        <w:jc w:val="center"/>
        <w:rPr>
          <w:rFonts w:hint="default" w:ascii="Times New Roman" w:hAnsi="Times New Roman" w:cs="Times New Roman"/>
          <w:sz w:val="44"/>
          <w:szCs w:val="44"/>
          <w:lang w:eastAsia="zh-CN"/>
        </w:rPr>
      </w:pPr>
      <w:bookmarkStart w:id="3" w:name="_Toc28599"/>
      <w:bookmarkStart w:id="4" w:name="_Toc7055"/>
      <w:bookmarkStart w:id="5" w:name="_Toc27369"/>
      <w:r>
        <w:rPr>
          <w:rFonts w:hint="default" w:ascii="Times New Roman" w:hAnsi="Times New Roman" w:cs="Times New Roman"/>
          <w:sz w:val="44"/>
          <w:szCs w:val="44"/>
          <w:lang w:eastAsia="zh-CN"/>
        </w:rPr>
        <w:t>(</w:t>
      </w:r>
      <w:r>
        <w:rPr>
          <w:rFonts w:hint="default" w:ascii="Times New Roman" w:hAnsi="Times New Roman" w:cs="Times New Roman"/>
          <w:sz w:val="44"/>
          <w:szCs w:val="44"/>
        </w:rPr>
        <w:t>20</w:t>
      </w:r>
      <w:r>
        <w:rPr>
          <w:rFonts w:hint="default" w:ascii="Times New Roman" w:hAnsi="Times New Roman" w:cs="Times New Roman"/>
          <w:sz w:val="44"/>
          <w:szCs w:val="44"/>
          <w:lang w:val="en-US" w:eastAsia="zh-CN"/>
        </w:rPr>
        <w:t>22</w:t>
      </w:r>
      <w:r>
        <w:rPr>
          <w:rFonts w:hint="default" w:ascii="Times New Roman" w:hAnsi="Times New Roman" w:cs="Times New Roman"/>
          <w:sz w:val="44"/>
          <w:szCs w:val="44"/>
        </w:rPr>
        <w:t>年版</w:t>
      </w:r>
      <w:r>
        <w:rPr>
          <w:rFonts w:hint="default" w:ascii="Times New Roman" w:hAnsi="Times New Roman" w:cs="Times New Roman"/>
          <w:sz w:val="44"/>
          <w:szCs w:val="44"/>
          <w:lang w:eastAsia="zh-CN"/>
        </w:rPr>
        <w:t>)</w:t>
      </w:r>
      <w:bookmarkEnd w:id="3"/>
      <w:bookmarkEnd w:id="4"/>
      <w:bookmarkEnd w:id="5"/>
    </w:p>
    <w:p>
      <w:pPr>
        <w:bidi w:val="0"/>
        <w:rPr>
          <w:rFonts w:hint="default" w:ascii="Times New Roman" w:hAnsi="Times New Roman" w:cs="Times New Roman"/>
          <w:color w:val="auto"/>
        </w:rPr>
      </w:pPr>
    </w:p>
    <w:p>
      <w:pPr>
        <w:bidi w:val="0"/>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bidi w:val="0"/>
        <w:rPr>
          <w:rFonts w:hint="default" w:ascii="Times New Roman" w:hAnsi="Times New Roman" w:cs="Times New Roman"/>
          <w:color w:val="auto"/>
        </w:rPr>
      </w:pPr>
    </w:p>
    <w:p>
      <w:pPr>
        <w:pStyle w:val="28"/>
        <w:rPr>
          <w:rFonts w:hint="default" w:ascii="Times New Roman" w:hAnsi="Times New Roman" w:cs="Times New Roman"/>
        </w:rPr>
      </w:pPr>
    </w:p>
    <w:p>
      <w:pPr>
        <w:bidi w:val="0"/>
        <w:rPr>
          <w:rFonts w:hint="default" w:ascii="Times New Roman" w:hAnsi="Times New Roman" w:cs="Times New Roman"/>
          <w:color w:val="auto"/>
        </w:rPr>
      </w:pPr>
    </w:p>
    <w:p>
      <w:pPr>
        <w:bidi w:val="0"/>
        <w:ind w:left="0" w:leftChars="0" w:firstLine="0" w:firstLineChars="0"/>
        <w:jc w:val="center"/>
        <w:rPr>
          <w:rFonts w:hint="default" w:ascii="Times New Roman" w:hAnsi="Times New Roman" w:eastAsia="仿宋" w:cs="Times New Roman"/>
          <w:b w:val="0"/>
          <w:bCs w:val="0"/>
          <w:color w:val="auto"/>
          <w:kern w:val="2"/>
          <w:sz w:val="32"/>
          <w:szCs w:val="32"/>
          <w:lang w:val="en-US" w:eastAsia="zh-CN" w:bidi="ar-SA"/>
        </w:rPr>
      </w:pPr>
      <w:bookmarkStart w:id="6" w:name="_Toc6939"/>
      <w:bookmarkStart w:id="7" w:name="_Toc20293"/>
      <w:bookmarkStart w:id="8" w:name="_Toc19752"/>
      <w:r>
        <w:rPr>
          <w:rFonts w:hint="default" w:ascii="Times New Roman" w:hAnsi="Times New Roman" w:eastAsia="仿宋" w:cs="Times New Roman"/>
          <w:b w:val="0"/>
          <w:bCs w:val="0"/>
          <w:color w:val="auto"/>
          <w:kern w:val="2"/>
          <w:sz w:val="32"/>
          <w:szCs w:val="32"/>
          <w:lang w:val="en-US" w:eastAsia="zh-CN" w:bidi="ar-SA"/>
        </w:rPr>
        <w:t>编</w:t>
      </w:r>
      <w:r>
        <w:rPr>
          <w:rFonts w:hint="default" w:ascii="Times New Roman" w:hAnsi="Times New Roman" w:eastAsia="仿宋" w:cs="Times New Roman"/>
          <w:b w:val="0"/>
          <w:bCs w:val="0"/>
          <w:color w:val="auto"/>
          <w:sz w:val="32"/>
          <w:szCs w:val="32"/>
        </w:rPr>
        <w:t>制日期：</w:t>
      </w:r>
      <w:r>
        <w:rPr>
          <w:rFonts w:hint="default" w:ascii="Times New Roman" w:hAnsi="Times New Roman" w:eastAsia="仿宋" w:cs="Times New Roman"/>
          <w:b w:val="0"/>
          <w:bCs w:val="0"/>
          <w:color w:val="auto"/>
          <w:sz w:val="32"/>
          <w:szCs w:val="32"/>
          <w:lang w:eastAsia="zh-CN"/>
        </w:rPr>
        <w:t>2022年</w:t>
      </w:r>
      <w:r>
        <w:rPr>
          <w:rFonts w:hint="default" w:ascii="Times New Roman" w:hAnsi="Times New Roman" w:eastAsia="仿宋" w:cs="Times New Roman"/>
          <w:b w:val="0"/>
          <w:bCs w:val="0"/>
          <w:color w:val="auto"/>
          <w:sz w:val="32"/>
          <w:szCs w:val="32"/>
          <w:lang w:val="en-US" w:eastAsia="zh-CN"/>
        </w:rPr>
        <w:t>8</w:t>
      </w:r>
      <w:r>
        <w:rPr>
          <w:rFonts w:hint="default" w:ascii="Times New Roman" w:hAnsi="Times New Roman" w:eastAsia="仿宋" w:cs="Times New Roman"/>
          <w:b w:val="0"/>
          <w:bCs w:val="0"/>
          <w:color w:val="auto"/>
          <w:sz w:val="32"/>
          <w:szCs w:val="32"/>
          <w:lang w:eastAsia="zh-CN"/>
        </w:rPr>
        <w:t>月</w:t>
      </w:r>
    </w:p>
    <w:bookmarkEnd w:id="6"/>
    <w:bookmarkEnd w:id="7"/>
    <w:bookmarkEnd w:id="8"/>
    <w:p>
      <w:pPr>
        <w:bidi w:val="0"/>
        <w:rPr>
          <w:rFonts w:hint="default" w:ascii="Times New Roman" w:hAnsi="Times New Roman" w:cs="Times New Roman"/>
          <w:color w:val="FF0000"/>
        </w:rPr>
      </w:pPr>
    </w:p>
    <w:p>
      <w:pPr>
        <w:bidi w:val="0"/>
        <w:rPr>
          <w:rFonts w:hint="default" w:ascii="Times New Roman" w:hAnsi="Times New Roman" w:cs="Times New Roman"/>
          <w:color w:val="FF0000"/>
        </w:rPr>
        <w:sectPr>
          <w:headerReference r:id="rId5" w:type="first"/>
          <w:footerReference r:id="rId6" w:type="default"/>
          <w:pgSz w:w="11906" w:h="16838"/>
          <w:pgMar w:top="1417" w:right="1417" w:bottom="1247" w:left="158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pPr>
    </w:p>
    <w:p>
      <w:pPr>
        <w:pStyle w:val="3"/>
        <w:bidi w:val="0"/>
        <w:ind w:left="0" w:leftChars="0" w:right="0" w:rightChars="0" w:firstLine="0" w:firstLineChars="0"/>
        <w:jc w:val="center"/>
        <w:rPr>
          <w:rFonts w:hint="default" w:ascii="Times New Roman" w:hAnsi="Times New Roman" w:cs="Times New Roman"/>
          <w:color w:val="auto"/>
        </w:rPr>
      </w:pPr>
      <w:bookmarkStart w:id="9" w:name="_Toc16900"/>
      <w:bookmarkStart w:id="10" w:name="_Toc12596"/>
      <w:bookmarkStart w:id="11" w:name="_Toc12327"/>
      <w:r>
        <w:rPr>
          <w:rFonts w:hint="default" w:ascii="Times New Roman" w:hAnsi="Times New Roman" w:cs="Times New Roman"/>
          <w:color w:val="auto"/>
        </w:rPr>
        <w:t>目录</w:t>
      </w:r>
      <w:bookmarkEnd w:id="9"/>
      <w:bookmarkEnd w:id="10"/>
      <w:bookmarkEnd w:id="11"/>
    </w:p>
    <w:p>
      <w:pPr>
        <w:pStyle w:val="23"/>
        <w:tabs>
          <w:tab w:val="right" w:leader="dot" w:pos="8902"/>
        </w:tabs>
      </w:pPr>
      <w:r>
        <w:rPr>
          <w:rFonts w:hint="default" w:ascii="Times New Roman" w:hAnsi="Times New Roman" w:cs="Times New Roman"/>
          <w:color w:val="FF0000"/>
          <w:sz w:val="24"/>
          <w:szCs w:val="24"/>
        </w:rPr>
        <w:fldChar w:fldCharType="begin"/>
      </w:r>
      <w:r>
        <w:rPr>
          <w:rFonts w:hint="default" w:ascii="Times New Roman" w:hAnsi="Times New Roman" w:cs="Times New Roman"/>
          <w:color w:val="FF0000"/>
          <w:sz w:val="24"/>
          <w:szCs w:val="24"/>
        </w:rPr>
        <w:instrText xml:space="preserve">TOC \o "1-2" \h \u </w:instrText>
      </w:r>
      <w:r>
        <w:rPr>
          <w:rFonts w:hint="default" w:ascii="Times New Roman" w:hAnsi="Times New Roman" w:cs="Times New Roman"/>
          <w:color w:val="FF0000"/>
          <w:sz w:val="24"/>
          <w:szCs w:val="24"/>
        </w:rPr>
        <w:fldChar w:fldCharType="separate"/>
      </w: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_Toc12327 </w:instrText>
      </w:r>
      <w:r>
        <w:rPr>
          <w:rFonts w:hint="default" w:ascii="Times New Roman" w:hAnsi="Times New Roman" w:cs="Times New Roman"/>
          <w:szCs w:val="24"/>
        </w:rPr>
        <w:fldChar w:fldCharType="separate"/>
      </w:r>
      <w:r>
        <w:rPr>
          <w:rFonts w:hint="default" w:ascii="Times New Roman" w:hAnsi="Times New Roman" w:cs="Times New Roman"/>
        </w:rPr>
        <w:t>目录</w:t>
      </w:r>
      <w:r>
        <w:tab/>
      </w:r>
      <w:r>
        <w:fldChar w:fldCharType="begin"/>
      </w:r>
      <w:r>
        <w:instrText xml:space="preserve"> PAGEREF _Toc12327 \h </w:instrText>
      </w:r>
      <w:r>
        <w:fldChar w:fldCharType="separate"/>
      </w:r>
      <w:r>
        <w:t>I</w:t>
      </w:r>
      <w:r>
        <w:fldChar w:fldCharType="end"/>
      </w:r>
      <w:r>
        <w:rPr>
          <w:rFonts w:hint="default" w:ascii="Times New Roman" w:hAnsi="Times New Roman" w:cs="Times New Roman"/>
          <w:color w:val="FF0000"/>
          <w:szCs w:val="24"/>
        </w:rPr>
        <w:fldChar w:fldCharType="end"/>
      </w:r>
    </w:p>
    <w:p>
      <w:pPr>
        <w:pStyle w:val="23"/>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_Toc32379 </w:instrText>
      </w:r>
      <w:r>
        <w:rPr>
          <w:rFonts w:hint="default" w:ascii="Times New Roman" w:hAnsi="Times New Roman" w:cs="Times New Roman"/>
          <w:szCs w:val="24"/>
        </w:rPr>
        <w:fldChar w:fldCharType="separate"/>
      </w:r>
      <w:r>
        <w:rPr>
          <w:rFonts w:hint="default" w:ascii="Times New Roman" w:hAnsi="Times New Roman" w:cs="Times New Roman"/>
        </w:rPr>
        <w:t>1 前言</w:t>
      </w:r>
      <w:r>
        <w:tab/>
      </w:r>
      <w:r>
        <w:fldChar w:fldCharType="begin"/>
      </w:r>
      <w:r>
        <w:instrText xml:space="preserve"> PAGEREF _Toc32379 \h </w:instrText>
      </w:r>
      <w:r>
        <w:fldChar w:fldCharType="separate"/>
      </w:r>
      <w:r>
        <w:t>1</w:t>
      </w:r>
      <w:r>
        <w:fldChar w:fldCharType="end"/>
      </w:r>
      <w:r>
        <w:rPr>
          <w:rFonts w:hint="default" w:ascii="Times New Roman" w:hAnsi="Times New Roman" w:cs="Times New Roman"/>
          <w:color w:val="FF0000"/>
          <w:szCs w:val="24"/>
        </w:rPr>
        <w:fldChar w:fldCharType="end"/>
      </w:r>
    </w:p>
    <w:p>
      <w:pPr>
        <w:pStyle w:val="23"/>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_Toc25286 </w:instrText>
      </w:r>
      <w:r>
        <w:rPr>
          <w:rFonts w:hint="default" w:ascii="Times New Roman" w:hAnsi="Times New Roman" w:cs="Times New Roman"/>
          <w:szCs w:val="24"/>
        </w:rPr>
        <w:fldChar w:fldCharType="separate"/>
      </w:r>
      <w:r>
        <w:rPr>
          <w:rFonts w:hint="default" w:ascii="Times New Roman" w:hAnsi="Times New Roman" w:cs="Times New Roman"/>
        </w:rPr>
        <w:t>2 总则</w:t>
      </w:r>
      <w:r>
        <w:tab/>
      </w:r>
      <w:r>
        <w:fldChar w:fldCharType="begin"/>
      </w:r>
      <w:r>
        <w:instrText xml:space="preserve"> PAGEREF _Toc25286 \h </w:instrText>
      </w:r>
      <w:r>
        <w:fldChar w:fldCharType="separate"/>
      </w:r>
      <w:r>
        <w:t>2</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_Toc572 </w:instrText>
      </w:r>
      <w:r>
        <w:rPr>
          <w:rFonts w:hint="default" w:ascii="Times New Roman" w:hAnsi="Times New Roman" w:cs="Times New Roman"/>
          <w:szCs w:val="24"/>
        </w:rPr>
        <w:fldChar w:fldCharType="separate"/>
      </w:r>
      <w:r>
        <w:rPr>
          <w:rFonts w:hint="default" w:ascii="Times New Roman" w:hAnsi="Times New Roman" w:cs="Times New Roman"/>
        </w:rPr>
        <w:t>2.1 编制</w:t>
      </w:r>
      <w:r>
        <w:rPr>
          <w:rFonts w:hint="default" w:ascii="Times New Roman" w:hAnsi="Times New Roman" w:cs="Times New Roman"/>
          <w:lang w:eastAsia="zh-CN"/>
        </w:rPr>
        <w:t>目的</w:t>
      </w:r>
      <w:r>
        <w:tab/>
      </w:r>
      <w:r>
        <w:fldChar w:fldCharType="begin"/>
      </w:r>
      <w:r>
        <w:instrText xml:space="preserve"> PAGEREF _Toc572 \h </w:instrText>
      </w:r>
      <w:r>
        <w:fldChar w:fldCharType="separate"/>
      </w:r>
      <w:r>
        <w:t>2</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_Toc20553 </w:instrText>
      </w:r>
      <w:r>
        <w:rPr>
          <w:rFonts w:hint="default" w:ascii="Times New Roman" w:hAnsi="Times New Roman" w:cs="Times New Roman"/>
          <w:szCs w:val="24"/>
        </w:rPr>
        <w:fldChar w:fldCharType="separate"/>
      </w:r>
      <w:r>
        <w:rPr>
          <w:rFonts w:hint="default" w:ascii="Times New Roman" w:hAnsi="Times New Roman" w:cs="Times New Roman"/>
        </w:rPr>
        <w:t xml:space="preserve">2.2 </w:t>
      </w:r>
      <w:r>
        <w:rPr>
          <w:rFonts w:hint="default" w:ascii="Times New Roman" w:hAnsi="Times New Roman" w:cs="Times New Roman"/>
          <w:lang w:val="en-US" w:eastAsia="zh-CN"/>
        </w:rPr>
        <w:t>编制</w:t>
      </w:r>
      <w:r>
        <w:rPr>
          <w:rFonts w:hint="default" w:ascii="Times New Roman" w:hAnsi="Times New Roman" w:cs="Times New Roman"/>
        </w:rPr>
        <w:t>原则</w:t>
      </w:r>
      <w:r>
        <w:tab/>
      </w:r>
      <w:r>
        <w:fldChar w:fldCharType="begin"/>
      </w:r>
      <w:r>
        <w:instrText xml:space="preserve"> PAGEREF _Toc20553 \h </w:instrText>
      </w:r>
      <w:r>
        <w:fldChar w:fldCharType="separate"/>
      </w:r>
      <w:r>
        <w:t>2</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_Toc27781 </w:instrText>
      </w:r>
      <w:r>
        <w:rPr>
          <w:rFonts w:hint="default" w:ascii="Times New Roman" w:hAnsi="Times New Roman" w:cs="Times New Roman"/>
          <w:szCs w:val="24"/>
        </w:rPr>
        <w:fldChar w:fldCharType="separate"/>
      </w:r>
      <w:r>
        <w:rPr>
          <w:rFonts w:hint="default" w:ascii="Times New Roman" w:hAnsi="Times New Roman" w:cs="Times New Roman"/>
          <w:lang w:val="en-US" w:eastAsia="zh-CN"/>
        </w:rPr>
        <w:t>2.3 编制依据</w:t>
      </w:r>
      <w:r>
        <w:tab/>
      </w:r>
      <w:r>
        <w:fldChar w:fldCharType="begin"/>
      </w:r>
      <w:r>
        <w:instrText xml:space="preserve"> PAGEREF _Toc27781 \h </w:instrText>
      </w:r>
      <w:r>
        <w:fldChar w:fldCharType="separate"/>
      </w:r>
      <w:r>
        <w:t>2</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_Toc8602 </w:instrText>
      </w:r>
      <w:r>
        <w:rPr>
          <w:rFonts w:hint="default" w:ascii="Times New Roman" w:hAnsi="Times New Roman" w:cs="Times New Roman"/>
          <w:szCs w:val="24"/>
        </w:rPr>
        <w:fldChar w:fldCharType="separate"/>
      </w:r>
      <w:r>
        <w:rPr>
          <w:rFonts w:hint="default" w:ascii="Times New Roman" w:hAnsi="Times New Roman" w:cs="Times New Roman"/>
        </w:rPr>
        <w:t xml:space="preserve">2.4 </w:t>
      </w:r>
      <w:r>
        <w:rPr>
          <w:rFonts w:hint="default" w:ascii="Times New Roman" w:hAnsi="Times New Roman" w:cs="Times New Roman"/>
          <w:lang w:val="en-US" w:eastAsia="zh-CN"/>
        </w:rPr>
        <w:t>评估重点</w:t>
      </w:r>
      <w:r>
        <w:tab/>
      </w:r>
      <w:r>
        <w:fldChar w:fldCharType="begin"/>
      </w:r>
      <w:r>
        <w:instrText xml:space="preserve"> PAGEREF _Toc8602 \h </w:instrText>
      </w:r>
      <w:r>
        <w:fldChar w:fldCharType="separate"/>
      </w:r>
      <w:r>
        <w:t>5</w:t>
      </w:r>
      <w:r>
        <w:fldChar w:fldCharType="end"/>
      </w:r>
      <w:r>
        <w:rPr>
          <w:rFonts w:hint="default" w:ascii="Times New Roman" w:hAnsi="Times New Roman" w:cs="Times New Roman"/>
          <w:color w:val="FF0000"/>
          <w:szCs w:val="24"/>
        </w:rPr>
        <w:fldChar w:fldCharType="end"/>
      </w:r>
    </w:p>
    <w:p>
      <w:pPr>
        <w:pStyle w:val="23"/>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_Toc20017 </w:instrText>
      </w:r>
      <w:r>
        <w:rPr>
          <w:rFonts w:hint="default" w:ascii="Times New Roman" w:hAnsi="Times New Roman" w:cs="Times New Roman"/>
          <w:szCs w:val="24"/>
        </w:rPr>
        <w:fldChar w:fldCharType="separate"/>
      </w:r>
      <w:r>
        <w:rPr>
          <w:rFonts w:hint="default" w:ascii="Times New Roman" w:hAnsi="Times New Roman" w:cs="Times New Roman"/>
        </w:rPr>
        <w:t>3 资料准备与环境风险识别</w:t>
      </w:r>
      <w:r>
        <w:tab/>
      </w:r>
      <w:r>
        <w:fldChar w:fldCharType="begin"/>
      </w:r>
      <w:r>
        <w:instrText xml:space="preserve"> PAGEREF _Toc20017 \h </w:instrText>
      </w:r>
      <w:r>
        <w:fldChar w:fldCharType="separate"/>
      </w:r>
      <w:r>
        <w:t>6</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_Toc26967 </w:instrText>
      </w:r>
      <w:r>
        <w:rPr>
          <w:rFonts w:hint="default" w:ascii="Times New Roman" w:hAnsi="Times New Roman" w:cs="Times New Roman"/>
          <w:szCs w:val="24"/>
        </w:rPr>
        <w:fldChar w:fldCharType="separate"/>
      </w:r>
      <w:r>
        <w:rPr>
          <w:rFonts w:hint="default" w:ascii="Times New Roman" w:hAnsi="Times New Roman" w:cs="Times New Roman"/>
        </w:rPr>
        <w:t>3.1 企业基本信息</w:t>
      </w:r>
      <w:r>
        <w:tab/>
      </w:r>
      <w:r>
        <w:fldChar w:fldCharType="begin"/>
      </w:r>
      <w:r>
        <w:instrText xml:space="preserve"> PAGEREF _Toc26967 \h </w:instrText>
      </w:r>
      <w:r>
        <w:fldChar w:fldCharType="separate"/>
      </w:r>
      <w:r>
        <w:t>6</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_Toc26574 </w:instrText>
      </w:r>
      <w:r>
        <w:rPr>
          <w:rFonts w:hint="default" w:ascii="Times New Roman" w:hAnsi="Times New Roman" w:cs="Times New Roman"/>
          <w:szCs w:val="24"/>
        </w:rPr>
        <w:fldChar w:fldCharType="separate"/>
      </w:r>
      <w:r>
        <w:rPr>
          <w:rFonts w:hint="default" w:ascii="Times New Roman" w:hAnsi="Times New Roman" w:cs="Times New Roman"/>
        </w:rPr>
        <w:t>3.2 企业周边环境风险受体情况</w:t>
      </w:r>
      <w:r>
        <w:tab/>
      </w:r>
      <w:r>
        <w:fldChar w:fldCharType="begin"/>
      </w:r>
      <w:r>
        <w:instrText xml:space="preserve"> PAGEREF _Toc26574 \h </w:instrText>
      </w:r>
      <w:r>
        <w:fldChar w:fldCharType="separate"/>
      </w:r>
      <w:r>
        <w:t>13</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_Toc9374 </w:instrText>
      </w:r>
      <w:r>
        <w:rPr>
          <w:rFonts w:hint="default" w:ascii="Times New Roman" w:hAnsi="Times New Roman" w:cs="Times New Roman"/>
          <w:szCs w:val="24"/>
        </w:rPr>
        <w:fldChar w:fldCharType="separate"/>
      </w:r>
      <w:r>
        <w:rPr>
          <w:rFonts w:hint="default" w:ascii="Times New Roman" w:hAnsi="Times New Roman" w:cs="Times New Roman"/>
        </w:rPr>
        <w:t xml:space="preserve">3.3 </w:t>
      </w:r>
      <w:r>
        <w:rPr>
          <w:rFonts w:hint="default" w:ascii="Times New Roman" w:hAnsi="Times New Roman" w:cs="Times New Roman"/>
          <w:lang w:val="en-US" w:eastAsia="zh-CN"/>
        </w:rPr>
        <w:t>涉及</w:t>
      </w:r>
      <w:r>
        <w:rPr>
          <w:rFonts w:hint="default" w:ascii="Times New Roman" w:hAnsi="Times New Roman" w:cs="Times New Roman"/>
        </w:rPr>
        <w:t>环境风险物质</w:t>
      </w:r>
      <w:r>
        <w:rPr>
          <w:rFonts w:hint="default" w:ascii="Times New Roman" w:hAnsi="Times New Roman" w:cs="Times New Roman"/>
          <w:lang w:val="en-US" w:eastAsia="zh-CN"/>
        </w:rPr>
        <w:t>情况</w:t>
      </w:r>
      <w:r>
        <w:tab/>
      </w:r>
      <w:r>
        <w:fldChar w:fldCharType="begin"/>
      </w:r>
      <w:r>
        <w:instrText xml:space="preserve"> PAGEREF _Toc9374 \h </w:instrText>
      </w:r>
      <w:r>
        <w:fldChar w:fldCharType="separate"/>
      </w:r>
      <w:r>
        <w:t>15</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_Toc3523 </w:instrText>
      </w:r>
      <w:r>
        <w:rPr>
          <w:rFonts w:hint="default" w:ascii="Times New Roman" w:hAnsi="Times New Roman" w:cs="Times New Roman"/>
          <w:szCs w:val="24"/>
        </w:rPr>
        <w:fldChar w:fldCharType="separate"/>
      </w:r>
      <w:r>
        <w:rPr>
          <w:rFonts w:hint="default" w:ascii="Times New Roman" w:hAnsi="Times New Roman" w:cs="Times New Roman"/>
          <w:highlight w:val="none"/>
        </w:rPr>
        <w:t>3.4 生产工艺</w:t>
      </w:r>
      <w:r>
        <w:tab/>
      </w:r>
      <w:r>
        <w:fldChar w:fldCharType="begin"/>
      </w:r>
      <w:r>
        <w:instrText xml:space="preserve"> PAGEREF _Toc3523 \h </w:instrText>
      </w:r>
      <w:r>
        <w:fldChar w:fldCharType="separate"/>
      </w:r>
      <w:r>
        <w:t>19</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_Toc23305 </w:instrText>
      </w:r>
      <w:r>
        <w:rPr>
          <w:rFonts w:hint="default" w:ascii="Times New Roman" w:hAnsi="Times New Roman" w:cs="Times New Roman"/>
          <w:szCs w:val="24"/>
        </w:rPr>
        <w:fldChar w:fldCharType="separate"/>
      </w:r>
      <w:r>
        <w:rPr>
          <w:rFonts w:hint="default" w:ascii="Times New Roman" w:hAnsi="Times New Roman" w:cs="Times New Roman"/>
        </w:rPr>
        <w:t>3.5 安全生产管理</w:t>
      </w:r>
      <w:r>
        <w:tab/>
      </w:r>
      <w:r>
        <w:fldChar w:fldCharType="begin"/>
      </w:r>
      <w:r>
        <w:instrText xml:space="preserve"> PAGEREF _Toc23305 \h </w:instrText>
      </w:r>
      <w:r>
        <w:fldChar w:fldCharType="separate"/>
      </w:r>
      <w:r>
        <w:t>25</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_Toc25283 </w:instrText>
      </w:r>
      <w:r>
        <w:rPr>
          <w:rFonts w:hint="default" w:ascii="Times New Roman" w:hAnsi="Times New Roman" w:cs="Times New Roman"/>
          <w:szCs w:val="24"/>
        </w:rPr>
        <w:fldChar w:fldCharType="separate"/>
      </w:r>
      <w:r>
        <w:rPr>
          <w:rFonts w:hint="default" w:ascii="Times New Roman" w:hAnsi="Times New Roman" w:cs="Times New Roman"/>
        </w:rPr>
        <w:t>3.6 现有环境风险防控与应急措施</w:t>
      </w:r>
      <w:r>
        <w:tab/>
      </w:r>
      <w:r>
        <w:fldChar w:fldCharType="begin"/>
      </w:r>
      <w:r>
        <w:instrText xml:space="preserve"> PAGEREF _Toc25283 \h </w:instrText>
      </w:r>
      <w:r>
        <w:fldChar w:fldCharType="separate"/>
      </w:r>
      <w:r>
        <w:t>25</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_Toc8162 </w:instrText>
      </w:r>
      <w:r>
        <w:rPr>
          <w:rFonts w:hint="default" w:ascii="Times New Roman" w:hAnsi="Times New Roman" w:cs="Times New Roman"/>
          <w:szCs w:val="24"/>
        </w:rPr>
        <w:fldChar w:fldCharType="separate"/>
      </w:r>
      <w:r>
        <w:rPr>
          <w:rFonts w:hint="default" w:ascii="Times New Roman" w:hAnsi="Times New Roman" w:cs="Times New Roman"/>
        </w:rPr>
        <w:t xml:space="preserve">3.7 </w:t>
      </w:r>
      <w:r>
        <w:rPr>
          <w:rFonts w:hint="eastAsia" w:ascii="Times New Roman" w:hAnsi="Times New Roman" w:cs="Times New Roman"/>
          <w:lang w:val="en-US" w:eastAsia="zh-CN"/>
        </w:rPr>
        <w:t>现有</w:t>
      </w:r>
      <w:r>
        <w:rPr>
          <w:rFonts w:hint="default" w:ascii="Times New Roman" w:hAnsi="Times New Roman" w:cs="Times New Roman"/>
        </w:rPr>
        <w:t>应急物资与装备、救援队伍情况</w:t>
      </w:r>
      <w:r>
        <w:tab/>
      </w:r>
      <w:r>
        <w:fldChar w:fldCharType="begin"/>
      </w:r>
      <w:r>
        <w:instrText xml:space="preserve"> PAGEREF _Toc8162 \h </w:instrText>
      </w:r>
      <w:r>
        <w:fldChar w:fldCharType="separate"/>
      </w:r>
      <w:r>
        <w:t>28</w:t>
      </w:r>
      <w:r>
        <w:fldChar w:fldCharType="end"/>
      </w:r>
      <w:r>
        <w:rPr>
          <w:rFonts w:hint="default" w:ascii="Times New Roman" w:hAnsi="Times New Roman" w:cs="Times New Roman"/>
          <w:color w:val="FF0000"/>
          <w:szCs w:val="24"/>
        </w:rPr>
        <w:fldChar w:fldCharType="end"/>
      </w:r>
    </w:p>
    <w:p>
      <w:pPr>
        <w:pStyle w:val="23"/>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_Toc17105 </w:instrText>
      </w:r>
      <w:r>
        <w:rPr>
          <w:rFonts w:hint="default" w:ascii="Times New Roman" w:hAnsi="Times New Roman" w:cs="Times New Roman"/>
          <w:szCs w:val="24"/>
        </w:rPr>
        <w:fldChar w:fldCharType="separate"/>
      </w:r>
      <w:r>
        <w:rPr>
          <w:rFonts w:hint="default" w:ascii="Times New Roman" w:hAnsi="Times New Roman" w:cs="Times New Roman"/>
        </w:rPr>
        <w:t>4 突发环境事件及其后果分析</w:t>
      </w:r>
      <w:r>
        <w:tab/>
      </w:r>
      <w:r>
        <w:fldChar w:fldCharType="begin"/>
      </w:r>
      <w:r>
        <w:instrText xml:space="preserve"> PAGEREF _Toc17105 \h </w:instrText>
      </w:r>
      <w:r>
        <w:fldChar w:fldCharType="separate"/>
      </w:r>
      <w:r>
        <w:t>34</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_Toc1425 </w:instrText>
      </w:r>
      <w:r>
        <w:rPr>
          <w:rFonts w:hint="default" w:ascii="Times New Roman" w:hAnsi="Times New Roman" w:cs="Times New Roman"/>
          <w:szCs w:val="24"/>
        </w:rPr>
        <w:fldChar w:fldCharType="separate"/>
      </w:r>
      <w:r>
        <w:rPr>
          <w:rFonts w:hint="default" w:ascii="Times New Roman" w:hAnsi="Times New Roman" w:cs="Times New Roman"/>
          <w:lang w:val="en-US" w:eastAsia="zh-CN"/>
        </w:rPr>
        <w:t>4.1</w:t>
      </w:r>
      <w:r>
        <w:rPr>
          <w:rFonts w:hint="default" w:ascii="Times New Roman" w:hAnsi="Times New Roman" w:cs="Times New Roman"/>
        </w:rPr>
        <w:t>突发环境事件情景分析</w:t>
      </w:r>
      <w:r>
        <w:tab/>
      </w:r>
      <w:r>
        <w:fldChar w:fldCharType="begin"/>
      </w:r>
      <w:r>
        <w:instrText xml:space="preserve"> PAGEREF _Toc1425 \h </w:instrText>
      </w:r>
      <w:r>
        <w:fldChar w:fldCharType="separate"/>
      </w:r>
      <w:r>
        <w:t>34</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_Toc19291 </w:instrText>
      </w:r>
      <w:r>
        <w:rPr>
          <w:rFonts w:hint="default" w:ascii="Times New Roman" w:hAnsi="Times New Roman" w:cs="Times New Roman"/>
          <w:szCs w:val="24"/>
        </w:rPr>
        <w:fldChar w:fldCharType="separate"/>
      </w:r>
      <w:r>
        <w:rPr>
          <w:rFonts w:hint="default" w:ascii="Times New Roman" w:hAnsi="Times New Roman" w:cs="Times New Roman"/>
        </w:rPr>
        <w:t>4.2 突发环境事件情景源强分析</w:t>
      </w:r>
      <w:r>
        <w:tab/>
      </w:r>
      <w:r>
        <w:fldChar w:fldCharType="begin"/>
      </w:r>
      <w:r>
        <w:instrText xml:space="preserve"> PAGEREF _Toc19291 \h </w:instrText>
      </w:r>
      <w:r>
        <w:fldChar w:fldCharType="separate"/>
      </w:r>
      <w:r>
        <w:t>35</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_Toc24012 </w:instrText>
      </w:r>
      <w:r>
        <w:rPr>
          <w:rFonts w:hint="default" w:ascii="Times New Roman" w:hAnsi="Times New Roman" w:cs="Times New Roman"/>
          <w:szCs w:val="24"/>
        </w:rPr>
        <w:fldChar w:fldCharType="separate"/>
      </w:r>
      <w:r>
        <w:rPr>
          <w:rFonts w:hint="default"/>
          <w:lang w:val="en-US" w:eastAsia="zh-CN"/>
        </w:rPr>
        <w:t xml:space="preserve">4.3 </w:t>
      </w:r>
      <w:r>
        <w:rPr>
          <w:rFonts w:hint="eastAsia"/>
          <w:lang w:val="en-US" w:eastAsia="zh-CN"/>
        </w:rPr>
        <w:t>释放环境风险物质的扩散途径、涉及环境风险防控与应急</w:t>
      </w:r>
      <w:r>
        <w:rPr>
          <w:rFonts w:hint="eastAsia" w:ascii="Times New Roman" w:hAnsi="Times New Roman" w:eastAsia="黑体" w:cs="Times New Roman"/>
          <w:bCs/>
          <w:kern w:val="2"/>
          <w:szCs w:val="32"/>
          <w:lang w:val="en-US" w:eastAsia="zh-CN" w:bidi="ar-SA"/>
        </w:rPr>
        <w:t>措施</w:t>
      </w:r>
      <w:r>
        <w:tab/>
      </w:r>
      <w:r>
        <w:fldChar w:fldCharType="begin"/>
      </w:r>
      <w:r>
        <w:instrText xml:space="preserve"> PAGEREF _Toc24012 \h </w:instrText>
      </w:r>
      <w:r>
        <w:fldChar w:fldCharType="separate"/>
      </w:r>
      <w:r>
        <w:t>40</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_Toc4409 </w:instrText>
      </w:r>
      <w:r>
        <w:rPr>
          <w:rFonts w:hint="default" w:ascii="Times New Roman" w:hAnsi="Times New Roman" w:cs="Times New Roman"/>
          <w:szCs w:val="24"/>
        </w:rPr>
        <w:fldChar w:fldCharType="separate"/>
      </w:r>
      <w:r>
        <w:rPr>
          <w:rFonts w:hint="default"/>
          <w:lang w:val="en-US" w:eastAsia="zh-CN"/>
        </w:rPr>
        <w:t>4.</w:t>
      </w:r>
      <w:r>
        <w:rPr>
          <w:rFonts w:hint="eastAsia"/>
          <w:lang w:val="en-US" w:eastAsia="zh-CN"/>
        </w:rPr>
        <w:t>4</w:t>
      </w:r>
      <w:r>
        <w:rPr>
          <w:rFonts w:hint="default"/>
          <w:lang w:val="en-US" w:eastAsia="zh-CN"/>
        </w:rPr>
        <w:t>突发环境事件后果分析</w:t>
      </w:r>
      <w:r>
        <w:tab/>
      </w:r>
      <w:r>
        <w:fldChar w:fldCharType="begin"/>
      </w:r>
      <w:r>
        <w:instrText xml:space="preserve"> PAGEREF _Toc4409 \h </w:instrText>
      </w:r>
      <w:r>
        <w:fldChar w:fldCharType="separate"/>
      </w:r>
      <w:r>
        <w:t>43</w:t>
      </w:r>
      <w:r>
        <w:fldChar w:fldCharType="end"/>
      </w:r>
      <w:r>
        <w:rPr>
          <w:rFonts w:hint="default" w:ascii="Times New Roman" w:hAnsi="Times New Roman" w:cs="Times New Roman"/>
          <w:color w:val="FF0000"/>
          <w:szCs w:val="24"/>
        </w:rPr>
        <w:fldChar w:fldCharType="end"/>
      </w:r>
    </w:p>
    <w:p>
      <w:pPr>
        <w:pStyle w:val="23"/>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_Toc13344 </w:instrText>
      </w:r>
      <w:r>
        <w:rPr>
          <w:rFonts w:hint="default" w:ascii="Times New Roman" w:hAnsi="Times New Roman" w:cs="Times New Roman"/>
          <w:szCs w:val="24"/>
        </w:rPr>
        <w:fldChar w:fldCharType="separate"/>
      </w:r>
      <w:r>
        <w:rPr>
          <w:rFonts w:hint="default" w:ascii="Times New Roman" w:hAnsi="Times New Roman" w:cs="Times New Roman"/>
        </w:rPr>
        <w:t>5 现有环境风险防控和应急措施差距分析</w:t>
      </w:r>
      <w:r>
        <w:tab/>
      </w:r>
      <w:r>
        <w:fldChar w:fldCharType="begin"/>
      </w:r>
      <w:r>
        <w:instrText xml:space="preserve"> PAGEREF _Toc13344 \h </w:instrText>
      </w:r>
      <w:r>
        <w:fldChar w:fldCharType="separate"/>
      </w:r>
      <w:r>
        <w:t>46</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_Toc23442 </w:instrText>
      </w:r>
      <w:r>
        <w:rPr>
          <w:rFonts w:hint="default" w:ascii="Times New Roman" w:hAnsi="Times New Roman" w:cs="Times New Roman"/>
          <w:szCs w:val="24"/>
        </w:rPr>
        <w:fldChar w:fldCharType="separate"/>
      </w:r>
      <w:r>
        <w:rPr>
          <w:rFonts w:hint="eastAsia"/>
          <w:lang w:val="en-US" w:eastAsia="zh-CN"/>
        </w:rPr>
        <w:t>5.2 环境风险防控与应急措施</w:t>
      </w:r>
      <w:r>
        <w:tab/>
      </w:r>
      <w:r>
        <w:fldChar w:fldCharType="begin"/>
      </w:r>
      <w:r>
        <w:instrText xml:space="preserve"> PAGEREF _Toc23442 \h </w:instrText>
      </w:r>
      <w:r>
        <w:fldChar w:fldCharType="separate"/>
      </w:r>
      <w:r>
        <w:t>48</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_Toc7611 </w:instrText>
      </w:r>
      <w:r>
        <w:rPr>
          <w:rFonts w:hint="default" w:ascii="Times New Roman" w:hAnsi="Times New Roman" w:cs="Times New Roman"/>
          <w:szCs w:val="24"/>
        </w:rPr>
        <w:fldChar w:fldCharType="separate"/>
      </w:r>
      <w:r>
        <w:rPr>
          <w:rFonts w:hint="default" w:ascii="Times New Roman" w:hAnsi="Times New Roman" w:eastAsia="宋体" w:cs="Times New Roman"/>
          <w:bCs/>
          <w:szCs w:val="28"/>
        </w:rPr>
        <w:t>5.4历史经验教训总结</w:t>
      </w:r>
      <w:r>
        <w:tab/>
      </w:r>
      <w:r>
        <w:fldChar w:fldCharType="begin"/>
      </w:r>
      <w:r>
        <w:instrText xml:space="preserve"> PAGEREF _Toc7611 \h </w:instrText>
      </w:r>
      <w:r>
        <w:fldChar w:fldCharType="separate"/>
      </w:r>
      <w:r>
        <w:t>49</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_Toc13041 </w:instrText>
      </w:r>
      <w:r>
        <w:rPr>
          <w:rFonts w:hint="default" w:ascii="Times New Roman" w:hAnsi="Times New Roman" w:cs="Times New Roman"/>
          <w:szCs w:val="24"/>
        </w:rPr>
        <w:fldChar w:fldCharType="separate"/>
      </w:r>
      <w:r>
        <w:rPr>
          <w:rFonts w:hint="default"/>
          <w:lang w:val="en-US" w:eastAsia="zh-CN"/>
        </w:rPr>
        <w:t>5.</w:t>
      </w:r>
      <w:r>
        <w:rPr>
          <w:rFonts w:hint="eastAsia"/>
          <w:lang w:val="en-US" w:eastAsia="zh-CN"/>
        </w:rPr>
        <w:t>5</w:t>
      </w:r>
      <w:r>
        <w:rPr>
          <w:rFonts w:hint="default"/>
        </w:rPr>
        <w:t>需要整改的短期、中期和长期项目内容</w:t>
      </w:r>
      <w:r>
        <w:tab/>
      </w:r>
      <w:r>
        <w:fldChar w:fldCharType="begin"/>
      </w:r>
      <w:r>
        <w:instrText xml:space="preserve"> PAGEREF _Toc13041 \h </w:instrText>
      </w:r>
      <w:r>
        <w:fldChar w:fldCharType="separate"/>
      </w:r>
      <w:r>
        <w:t>49</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_Toc4267 </w:instrText>
      </w:r>
      <w:r>
        <w:rPr>
          <w:rFonts w:hint="default" w:ascii="Times New Roman" w:hAnsi="Times New Roman" w:cs="Times New Roman"/>
          <w:szCs w:val="24"/>
        </w:rPr>
        <w:fldChar w:fldCharType="separate"/>
      </w:r>
      <w:r>
        <w:rPr>
          <w:rFonts w:hint="eastAsia"/>
          <w:lang w:val="en-US" w:eastAsia="zh-CN"/>
        </w:rPr>
        <w:t>5.6</w:t>
      </w:r>
      <w:r>
        <w:rPr>
          <w:rFonts w:hint="default"/>
        </w:rPr>
        <w:t>完善环境风险防控和应急措施的实施计划</w:t>
      </w:r>
      <w:r>
        <w:tab/>
      </w:r>
      <w:r>
        <w:fldChar w:fldCharType="begin"/>
      </w:r>
      <w:r>
        <w:instrText xml:space="preserve"> PAGEREF _Toc4267 \h </w:instrText>
      </w:r>
      <w:r>
        <w:fldChar w:fldCharType="separate"/>
      </w:r>
      <w:r>
        <w:t>50</w:t>
      </w:r>
      <w:r>
        <w:fldChar w:fldCharType="end"/>
      </w:r>
      <w:r>
        <w:rPr>
          <w:rFonts w:hint="default" w:ascii="Times New Roman" w:hAnsi="Times New Roman" w:cs="Times New Roman"/>
          <w:color w:val="FF0000"/>
          <w:szCs w:val="24"/>
        </w:rPr>
        <w:fldChar w:fldCharType="end"/>
      </w:r>
    </w:p>
    <w:p>
      <w:pPr>
        <w:pStyle w:val="23"/>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_Toc19993 </w:instrText>
      </w:r>
      <w:r>
        <w:rPr>
          <w:rFonts w:hint="default" w:ascii="Times New Roman" w:hAnsi="Times New Roman" w:cs="Times New Roman"/>
          <w:szCs w:val="24"/>
        </w:rPr>
        <w:fldChar w:fldCharType="separate"/>
      </w:r>
      <w:r>
        <w:rPr>
          <w:rFonts w:hint="default" w:ascii="Times New Roman" w:hAnsi="Times New Roman" w:cs="Times New Roman"/>
        </w:rPr>
        <w:t>6 企业突发环境事件风险等级</w:t>
      </w:r>
      <w:r>
        <w:tab/>
      </w:r>
      <w:r>
        <w:fldChar w:fldCharType="begin"/>
      </w:r>
      <w:r>
        <w:instrText xml:space="preserve"> PAGEREF _Toc19993 \h </w:instrText>
      </w:r>
      <w:r>
        <w:fldChar w:fldCharType="separate"/>
      </w:r>
      <w:r>
        <w:t>52</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_Toc17899 </w:instrText>
      </w:r>
      <w:r>
        <w:rPr>
          <w:rFonts w:hint="default" w:ascii="Times New Roman" w:hAnsi="Times New Roman" w:cs="Times New Roman"/>
          <w:szCs w:val="24"/>
        </w:rPr>
        <w:fldChar w:fldCharType="separate"/>
      </w:r>
      <w:r>
        <w:rPr>
          <w:rFonts w:hint="default" w:ascii="Times New Roman" w:hAnsi="Times New Roman" w:cs="Times New Roman"/>
        </w:rPr>
        <w:t>6.1 突发大气事件环境风险等级</w:t>
      </w:r>
      <w:r>
        <w:tab/>
      </w:r>
      <w:r>
        <w:fldChar w:fldCharType="begin"/>
      </w:r>
      <w:r>
        <w:instrText xml:space="preserve"> PAGEREF _Toc17899 \h </w:instrText>
      </w:r>
      <w:r>
        <w:fldChar w:fldCharType="separate"/>
      </w:r>
      <w:r>
        <w:t>52</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_Toc29268 </w:instrText>
      </w:r>
      <w:r>
        <w:rPr>
          <w:rFonts w:hint="default" w:ascii="Times New Roman" w:hAnsi="Times New Roman" w:cs="Times New Roman"/>
          <w:szCs w:val="24"/>
        </w:rPr>
        <w:fldChar w:fldCharType="separate"/>
      </w:r>
      <w:r>
        <w:rPr>
          <w:rFonts w:hint="default" w:ascii="Times New Roman" w:hAnsi="Times New Roman" w:cs="Times New Roman"/>
        </w:rPr>
        <w:t>6.2 突发水事件环境风险等级</w:t>
      </w:r>
      <w:r>
        <w:tab/>
      </w:r>
      <w:r>
        <w:fldChar w:fldCharType="begin"/>
      </w:r>
      <w:r>
        <w:instrText xml:space="preserve"> PAGEREF _Toc29268 \h </w:instrText>
      </w:r>
      <w:r>
        <w:fldChar w:fldCharType="separate"/>
      </w:r>
      <w:r>
        <w:t>55</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_Toc1263 </w:instrText>
      </w:r>
      <w:r>
        <w:rPr>
          <w:rFonts w:hint="default" w:ascii="Times New Roman" w:hAnsi="Times New Roman" w:cs="Times New Roman"/>
          <w:szCs w:val="24"/>
        </w:rPr>
        <w:fldChar w:fldCharType="separate"/>
      </w:r>
      <w:r>
        <w:rPr>
          <w:rFonts w:hint="default" w:ascii="Times New Roman" w:hAnsi="Times New Roman" w:cs="Times New Roman"/>
        </w:rPr>
        <w:t>6.3 突发环境事件风险等级确定</w:t>
      </w:r>
      <w:r>
        <w:tab/>
      </w:r>
      <w:r>
        <w:fldChar w:fldCharType="begin"/>
      </w:r>
      <w:r>
        <w:instrText xml:space="preserve"> PAGEREF _Toc1263 \h </w:instrText>
      </w:r>
      <w:r>
        <w:fldChar w:fldCharType="separate"/>
      </w:r>
      <w:r>
        <w:t>61</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_Toc19276 </w:instrText>
      </w:r>
      <w:r>
        <w:rPr>
          <w:rFonts w:hint="default" w:ascii="Times New Roman" w:hAnsi="Times New Roman" w:cs="Times New Roman"/>
          <w:szCs w:val="24"/>
        </w:rPr>
        <w:fldChar w:fldCharType="separate"/>
      </w:r>
      <w:r>
        <w:rPr>
          <w:rFonts w:hint="default" w:ascii="Times New Roman" w:hAnsi="Times New Roman" w:cs="Times New Roman"/>
          <w:lang w:val="en-US" w:eastAsia="zh-CN"/>
        </w:rPr>
        <w:t>附件1  地理位置图</w:t>
      </w:r>
      <w:r>
        <w:tab/>
      </w:r>
      <w:r>
        <w:fldChar w:fldCharType="begin"/>
      </w:r>
      <w:r>
        <w:instrText xml:space="preserve"> PAGEREF _Toc19276 \h </w:instrText>
      </w:r>
      <w:r>
        <w:fldChar w:fldCharType="separate"/>
      </w:r>
      <w:r>
        <w:t>62</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_Toc27801 </w:instrText>
      </w:r>
      <w:r>
        <w:rPr>
          <w:rFonts w:hint="default" w:ascii="Times New Roman" w:hAnsi="Times New Roman" w:cs="Times New Roman"/>
          <w:szCs w:val="24"/>
        </w:rPr>
        <w:fldChar w:fldCharType="separate"/>
      </w:r>
      <w:r>
        <w:rPr>
          <w:rFonts w:hint="default" w:ascii="Times New Roman" w:hAnsi="Times New Roman" w:cs="Times New Roman"/>
        </w:rPr>
        <w:t>附件</w:t>
      </w:r>
      <w:r>
        <w:rPr>
          <w:rFonts w:hint="default" w:ascii="Times New Roman" w:hAnsi="Times New Roman" w:cs="Times New Roman"/>
          <w:lang w:val="en-US" w:eastAsia="zh-CN"/>
        </w:rPr>
        <w:t>2</w:t>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 5km周边环境图</w:t>
      </w:r>
      <w:r>
        <w:tab/>
      </w:r>
      <w:r>
        <w:fldChar w:fldCharType="begin"/>
      </w:r>
      <w:r>
        <w:instrText xml:space="preserve"> PAGEREF _Toc27801 \h </w:instrText>
      </w:r>
      <w:r>
        <w:fldChar w:fldCharType="separate"/>
      </w:r>
      <w:r>
        <w:t>63</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_Toc7865 </w:instrText>
      </w:r>
      <w:r>
        <w:rPr>
          <w:rFonts w:hint="default" w:ascii="Times New Roman" w:hAnsi="Times New Roman" w:cs="Times New Roman"/>
          <w:szCs w:val="24"/>
        </w:rPr>
        <w:fldChar w:fldCharType="separate"/>
      </w:r>
      <w:r>
        <w:rPr>
          <w:rFonts w:hint="default" w:ascii="Times New Roman" w:hAnsi="Times New Roman" w:cs="Times New Roman"/>
        </w:rPr>
        <w:t>附件</w:t>
      </w:r>
      <w:r>
        <w:rPr>
          <w:rFonts w:hint="default" w:ascii="Times New Roman" w:hAnsi="Times New Roman" w:cs="Times New Roman"/>
          <w:lang w:val="en-US" w:eastAsia="zh-CN"/>
        </w:rPr>
        <w:t>3</w:t>
      </w:r>
      <w:r>
        <w:rPr>
          <w:rFonts w:hint="default" w:ascii="Times New Roman" w:hAnsi="Times New Roman" w:cs="Times New Roman"/>
          <w:lang w:eastAsia="zh-CN"/>
        </w:rPr>
        <w:t xml:space="preserve"> </w:t>
      </w:r>
      <w:r>
        <w:rPr>
          <w:rFonts w:hint="default" w:ascii="Times New Roman" w:hAnsi="Times New Roman" w:cs="Times New Roman"/>
          <w:lang w:val="en-US" w:eastAsia="zh-CN"/>
        </w:rPr>
        <w:t>平面布置图</w:t>
      </w:r>
      <w:r>
        <w:tab/>
      </w:r>
      <w:r>
        <w:fldChar w:fldCharType="begin"/>
      </w:r>
      <w:r>
        <w:instrText xml:space="preserve"> PAGEREF _Toc7865 \h </w:instrText>
      </w:r>
      <w:r>
        <w:fldChar w:fldCharType="separate"/>
      </w:r>
      <w:r>
        <w:t>64</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_Toc11443 </w:instrText>
      </w:r>
      <w:r>
        <w:rPr>
          <w:rFonts w:hint="default" w:ascii="Times New Roman" w:hAnsi="Times New Roman" w:cs="Times New Roman"/>
          <w:szCs w:val="24"/>
        </w:rPr>
        <w:fldChar w:fldCharType="separate"/>
      </w:r>
      <w:r>
        <w:rPr>
          <w:rFonts w:hint="default" w:ascii="Times New Roman" w:hAnsi="Times New Roman" w:cs="Times New Roman"/>
        </w:rPr>
        <w:t>附</w:t>
      </w:r>
      <w:r>
        <w:rPr>
          <w:rFonts w:hint="eastAsia" w:cs="Times New Roman"/>
          <w:lang w:val="en-US" w:eastAsia="zh-CN"/>
        </w:rPr>
        <w:t>件</w:t>
      </w:r>
      <w:r>
        <w:rPr>
          <w:rFonts w:hint="default" w:ascii="Times New Roman" w:hAnsi="Times New Roman" w:cs="Times New Roman"/>
          <w:lang w:val="en-US" w:eastAsia="zh-CN"/>
        </w:rPr>
        <w:t>4</w:t>
      </w:r>
      <w:r>
        <w:rPr>
          <w:rFonts w:hint="default" w:ascii="Times New Roman" w:hAnsi="Times New Roman" w:cs="Times New Roman"/>
          <w:lang w:eastAsia="zh-CN"/>
        </w:rPr>
        <w:t xml:space="preserve"> </w:t>
      </w:r>
      <w:r>
        <w:rPr>
          <w:rFonts w:hint="eastAsia"/>
          <w:lang w:val="en-US" w:eastAsia="zh-CN"/>
        </w:rPr>
        <w:t>雨水、污水收集管网</w:t>
      </w:r>
      <w:r>
        <w:tab/>
      </w:r>
      <w:r>
        <w:fldChar w:fldCharType="begin"/>
      </w:r>
      <w:r>
        <w:instrText xml:space="preserve"> PAGEREF _Toc11443 \h </w:instrText>
      </w:r>
      <w:r>
        <w:fldChar w:fldCharType="separate"/>
      </w:r>
      <w:r>
        <w:t>65</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_Toc8804 </w:instrText>
      </w:r>
      <w:r>
        <w:rPr>
          <w:rFonts w:hint="default" w:ascii="Times New Roman" w:hAnsi="Times New Roman" w:cs="Times New Roman"/>
          <w:szCs w:val="24"/>
        </w:rPr>
        <w:fldChar w:fldCharType="separate"/>
      </w:r>
      <w:r>
        <w:rPr>
          <w:rFonts w:hint="default" w:ascii="Times New Roman" w:hAnsi="Times New Roman" w:cs="Times New Roman"/>
        </w:rPr>
        <w:t>附</w:t>
      </w:r>
      <w:r>
        <w:rPr>
          <w:rFonts w:hint="eastAsia" w:cs="Times New Roman"/>
          <w:lang w:val="en-US" w:eastAsia="zh-CN"/>
        </w:rPr>
        <w:t>件5</w:t>
      </w:r>
      <w:r>
        <w:rPr>
          <w:rFonts w:hint="default" w:ascii="Times New Roman" w:hAnsi="Times New Roman" w:cs="Times New Roman"/>
          <w:lang w:eastAsia="zh-CN"/>
        </w:rPr>
        <w:t xml:space="preserve"> </w:t>
      </w:r>
      <w:r>
        <w:rPr>
          <w:rFonts w:hint="eastAsia" w:cs="Times New Roman"/>
          <w:lang w:val="en-US" w:eastAsia="zh-CN"/>
        </w:rPr>
        <w:t>园区</w:t>
      </w:r>
      <w:r>
        <w:rPr>
          <w:rFonts w:hint="eastAsia"/>
          <w:lang w:val="en-US" w:eastAsia="zh-CN"/>
        </w:rPr>
        <w:t>污水接纳协议</w:t>
      </w:r>
      <w:r>
        <w:tab/>
      </w:r>
      <w:r>
        <w:fldChar w:fldCharType="begin"/>
      </w:r>
      <w:r>
        <w:instrText xml:space="preserve"> PAGEREF _Toc8804 \h </w:instrText>
      </w:r>
      <w:r>
        <w:fldChar w:fldCharType="separate"/>
      </w:r>
      <w:r>
        <w:t>66</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_Toc31847 </w:instrText>
      </w:r>
      <w:r>
        <w:rPr>
          <w:rFonts w:hint="default" w:ascii="Times New Roman" w:hAnsi="Times New Roman" w:cs="Times New Roman"/>
          <w:szCs w:val="24"/>
        </w:rPr>
        <w:fldChar w:fldCharType="separate"/>
      </w:r>
      <w:r>
        <w:rPr>
          <w:rFonts w:hint="eastAsia" w:ascii="Times New Roman" w:hAnsi="Times New Roman" w:cs="Times New Roman"/>
          <w:lang w:val="en-US" w:eastAsia="zh-CN"/>
        </w:rPr>
        <w:t xml:space="preserve">附件5 </w:t>
      </w:r>
      <w:r>
        <w:rPr>
          <w:rFonts w:hint="default" w:ascii="Times New Roman" w:hAnsi="Times New Roman" w:cs="Times New Roman"/>
          <w:lang w:val="en-US" w:eastAsia="zh-CN"/>
        </w:rPr>
        <w:t>紧急撤离路线及应急物资分布图</w:t>
      </w:r>
      <w:r>
        <w:tab/>
      </w:r>
      <w:r>
        <w:fldChar w:fldCharType="begin"/>
      </w:r>
      <w:r>
        <w:instrText xml:space="preserve"> PAGEREF _Toc31847 \h </w:instrText>
      </w:r>
      <w:r>
        <w:fldChar w:fldCharType="separate"/>
      </w:r>
      <w:r>
        <w:t>73</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_Toc12106 </w:instrText>
      </w:r>
      <w:r>
        <w:rPr>
          <w:rFonts w:hint="default" w:ascii="Times New Roman" w:hAnsi="Times New Roman" w:cs="Times New Roman"/>
          <w:szCs w:val="24"/>
        </w:rPr>
        <w:fldChar w:fldCharType="separate"/>
      </w:r>
      <w:r>
        <w:rPr>
          <w:rFonts w:hint="eastAsia"/>
        </w:rPr>
        <w:t>附</w:t>
      </w:r>
      <w:r>
        <w:rPr>
          <w:rFonts w:hint="eastAsia"/>
          <w:lang w:val="en-US" w:eastAsia="zh-CN"/>
        </w:rPr>
        <w:t>件6</w:t>
      </w:r>
      <w:r>
        <w:rPr>
          <w:rFonts w:hint="eastAsia"/>
          <w:lang w:eastAsia="zh-CN"/>
        </w:rPr>
        <w:t xml:space="preserve"> 环境风险防控措施</w:t>
      </w:r>
      <w:r>
        <w:tab/>
      </w:r>
      <w:r>
        <w:fldChar w:fldCharType="begin"/>
      </w:r>
      <w:r>
        <w:instrText xml:space="preserve"> PAGEREF _Toc12106 \h </w:instrText>
      </w:r>
      <w:r>
        <w:fldChar w:fldCharType="separate"/>
      </w:r>
      <w:r>
        <w:t>74</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_Toc15693 </w:instrText>
      </w:r>
      <w:r>
        <w:rPr>
          <w:rFonts w:hint="default" w:ascii="Times New Roman" w:hAnsi="Times New Roman" w:cs="Times New Roman"/>
          <w:szCs w:val="24"/>
        </w:rPr>
        <w:fldChar w:fldCharType="separate"/>
      </w:r>
      <w:r>
        <w:rPr>
          <w:rFonts w:hint="eastAsia"/>
          <w:lang w:val="en-US" w:eastAsia="zh-CN"/>
        </w:rPr>
        <w:t>附件7 消防验收意见书</w:t>
      </w:r>
      <w:r>
        <w:tab/>
      </w:r>
      <w:r>
        <w:fldChar w:fldCharType="begin"/>
      </w:r>
      <w:r>
        <w:instrText xml:space="preserve"> PAGEREF _Toc15693 \h </w:instrText>
      </w:r>
      <w:r>
        <w:fldChar w:fldCharType="separate"/>
      </w:r>
      <w:r>
        <w:t>76</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_Toc8942 </w:instrText>
      </w:r>
      <w:r>
        <w:rPr>
          <w:rFonts w:hint="default" w:ascii="Times New Roman" w:hAnsi="Times New Roman" w:cs="Times New Roman"/>
          <w:szCs w:val="24"/>
        </w:rPr>
        <w:fldChar w:fldCharType="separate"/>
      </w:r>
      <w:r>
        <w:rPr>
          <w:rFonts w:hint="eastAsia"/>
          <w:lang w:val="en-US" w:eastAsia="zh-CN"/>
        </w:rPr>
        <w:t>附件8 应急监测协议</w:t>
      </w:r>
      <w:r>
        <w:tab/>
      </w:r>
      <w:r>
        <w:fldChar w:fldCharType="begin"/>
      </w:r>
      <w:r>
        <w:instrText xml:space="preserve"> PAGEREF _Toc8942 \h </w:instrText>
      </w:r>
      <w:r>
        <w:fldChar w:fldCharType="separate"/>
      </w:r>
      <w:r>
        <w:t>77</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_Toc30721 </w:instrText>
      </w:r>
      <w:r>
        <w:rPr>
          <w:rFonts w:hint="default" w:ascii="Times New Roman" w:hAnsi="Times New Roman" w:cs="Times New Roman"/>
          <w:szCs w:val="24"/>
        </w:rPr>
        <w:fldChar w:fldCharType="separate"/>
      </w:r>
      <w:r>
        <w:rPr>
          <w:rFonts w:hint="eastAsia" w:ascii="Times New Roman" w:hAnsi="Times New Roman" w:cs="Times New Roman"/>
          <w:lang w:val="en-US" w:eastAsia="zh-CN"/>
        </w:rPr>
        <w:t xml:space="preserve">附件9 </w:t>
      </w:r>
      <w:r>
        <w:rPr>
          <w:rFonts w:hint="default" w:ascii="Times New Roman" w:hAnsi="Times New Roman" w:cs="Times New Roman"/>
          <w:lang w:val="en-US" w:eastAsia="zh-CN"/>
        </w:rPr>
        <w:t>应急救援互助协议</w:t>
      </w:r>
      <w:r>
        <w:tab/>
      </w:r>
      <w:r>
        <w:fldChar w:fldCharType="begin"/>
      </w:r>
      <w:r>
        <w:instrText xml:space="preserve"> PAGEREF _Toc30721 \h </w:instrText>
      </w:r>
      <w:r>
        <w:fldChar w:fldCharType="separate"/>
      </w:r>
      <w:r>
        <w:t>79</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_Toc2068 </w:instrText>
      </w:r>
      <w:r>
        <w:rPr>
          <w:rFonts w:hint="default" w:ascii="Times New Roman" w:hAnsi="Times New Roman" w:cs="Times New Roman"/>
          <w:szCs w:val="24"/>
        </w:rPr>
        <w:fldChar w:fldCharType="separate"/>
      </w:r>
      <w:r>
        <w:rPr>
          <w:rFonts w:hint="default" w:ascii="Times New Roman" w:hAnsi="Times New Roman" w:cs="Times New Roman"/>
          <w:lang w:val="en-US" w:eastAsia="zh-CN"/>
        </w:rPr>
        <w:t>附表1</w:t>
      </w:r>
      <w:r>
        <w:rPr>
          <w:rFonts w:hint="default" w:ascii="Times New Roman" w:hAnsi="Times New Roman" w:cs="Times New Roman"/>
        </w:rPr>
        <w:t xml:space="preserve"> 应急救援联系方式</w:t>
      </w:r>
      <w:r>
        <w:tab/>
      </w:r>
      <w:r>
        <w:fldChar w:fldCharType="begin"/>
      </w:r>
      <w:r>
        <w:instrText xml:space="preserve"> PAGEREF _Toc2068 \h </w:instrText>
      </w:r>
      <w:r>
        <w:fldChar w:fldCharType="separate"/>
      </w:r>
      <w:r>
        <w:t>81</w:t>
      </w:r>
      <w:r>
        <w:fldChar w:fldCharType="end"/>
      </w:r>
      <w:r>
        <w:rPr>
          <w:rFonts w:hint="default" w:ascii="Times New Roman" w:hAnsi="Times New Roman" w:cs="Times New Roman"/>
          <w:color w:val="FF0000"/>
          <w:szCs w:val="24"/>
        </w:rPr>
        <w:fldChar w:fldCharType="end"/>
      </w:r>
    </w:p>
    <w:p>
      <w:pPr>
        <w:pStyle w:val="25"/>
        <w:tabs>
          <w:tab w:val="right" w:leader="dot" w:pos="8902"/>
        </w:tabs>
      </w:pPr>
      <w:r>
        <w:rPr>
          <w:rFonts w:hint="default" w:ascii="Times New Roman" w:hAnsi="Times New Roman" w:cs="Times New Roman"/>
          <w:color w:val="FF0000"/>
          <w:szCs w:val="24"/>
        </w:rPr>
        <w:fldChar w:fldCharType="begin"/>
      </w:r>
      <w:r>
        <w:rPr>
          <w:rFonts w:hint="default" w:ascii="Times New Roman" w:hAnsi="Times New Roman" w:cs="Times New Roman"/>
          <w:szCs w:val="24"/>
        </w:rPr>
        <w:instrText xml:space="preserve"> HYPERLINK \l _Toc1639 </w:instrText>
      </w:r>
      <w:r>
        <w:rPr>
          <w:rFonts w:hint="default" w:ascii="Times New Roman" w:hAnsi="Times New Roman" w:cs="Times New Roman"/>
          <w:szCs w:val="24"/>
        </w:rPr>
        <w:fldChar w:fldCharType="separate"/>
      </w:r>
      <w:r>
        <w:rPr>
          <w:rFonts w:hint="default" w:ascii="Times New Roman" w:hAnsi="Times New Roman" w:cs="Times New Roman"/>
        </w:rPr>
        <w:t>附</w:t>
      </w:r>
      <w:r>
        <w:rPr>
          <w:rFonts w:hint="default" w:ascii="Times New Roman" w:hAnsi="Times New Roman" w:cs="Times New Roman"/>
          <w:lang w:val="en-US" w:eastAsia="zh-CN"/>
        </w:rPr>
        <w:t>表</w:t>
      </w:r>
      <w:r>
        <w:rPr>
          <w:rFonts w:hint="default" w:ascii="Times New Roman" w:hAnsi="Times New Roman" w:cs="Times New Roman"/>
        </w:rPr>
        <w:t>2 应急物资与装备</w:t>
      </w:r>
      <w:r>
        <w:tab/>
      </w:r>
      <w:r>
        <w:fldChar w:fldCharType="begin"/>
      </w:r>
      <w:r>
        <w:instrText xml:space="preserve"> PAGEREF _Toc1639 \h </w:instrText>
      </w:r>
      <w:r>
        <w:fldChar w:fldCharType="separate"/>
      </w:r>
      <w:r>
        <w:t>82</w:t>
      </w:r>
      <w:r>
        <w:fldChar w:fldCharType="end"/>
      </w:r>
      <w:r>
        <w:rPr>
          <w:rFonts w:hint="default" w:ascii="Times New Roman" w:hAnsi="Times New Roman" w:cs="Times New Roman"/>
          <w:color w:val="FF0000"/>
          <w:szCs w:val="24"/>
        </w:rPr>
        <w:fldChar w:fldCharType="end"/>
      </w:r>
    </w:p>
    <w:p>
      <w:pPr>
        <w:bidi w:val="0"/>
        <w:rPr>
          <w:rFonts w:hint="default" w:ascii="Times New Roman" w:hAnsi="Times New Roman" w:cs="Times New Roman"/>
          <w:color w:val="FF0000"/>
          <w:sz w:val="24"/>
          <w:szCs w:val="24"/>
        </w:rPr>
      </w:pPr>
      <w:r>
        <w:rPr>
          <w:rFonts w:hint="default" w:ascii="Times New Roman" w:hAnsi="Times New Roman" w:cs="Times New Roman"/>
          <w:color w:val="FF0000"/>
          <w:szCs w:val="24"/>
        </w:rPr>
        <w:fldChar w:fldCharType="end"/>
      </w:r>
    </w:p>
    <w:p>
      <w:pPr>
        <w:bidi w:val="0"/>
        <w:rPr>
          <w:rFonts w:hint="default" w:ascii="Times New Roman" w:hAnsi="Times New Roman" w:cs="Times New Roman"/>
          <w:color w:val="FF0000"/>
        </w:rPr>
        <w:sectPr>
          <w:footerReference r:id="rId7" w:type="default"/>
          <w:pgSz w:w="11906" w:h="16838"/>
          <w:pgMar w:top="1417" w:right="1417" w:bottom="1247" w:left="1587" w:header="850" w:footer="680" w:gutter="0"/>
          <w:pgBorders>
            <w:top w:val="none" w:sz="0" w:space="0"/>
            <w:left w:val="none" w:sz="0" w:space="0"/>
            <w:bottom w:val="none" w:sz="0" w:space="0"/>
            <w:right w:val="none" w:sz="0" w:space="0"/>
          </w:pgBorders>
          <w:pgNumType w:fmt="upperRoman" w:start="1"/>
          <w:cols w:space="720" w:num="1"/>
          <w:rtlGutter w:val="0"/>
          <w:docGrid w:type="lines" w:linePitch="330" w:charSpace="0"/>
        </w:sectPr>
      </w:pPr>
    </w:p>
    <w:p>
      <w:pPr>
        <w:pStyle w:val="3"/>
        <w:bidi w:val="0"/>
        <w:rPr>
          <w:rFonts w:hint="default" w:ascii="Times New Roman" w:hAnsi="Times New Roman" w:cs="Times New Roman"/>
          <w:color w:val="auto"/>
        </w:rPr>
      </w:pPr>
      <w:bookmarkStart w:id="12" w:name="_Toc18496"/>
      <w:bookmarkStart w:id="13" w:name="_Toc32379"/>
      <w:r>
        <w:rPr>
          <w:rFonts w:hint="default" w:ascii="Times New Roman" w:hAnsi="Times New Roman" w:cs="Times New Roman"/>
          <w:color w:val="auto"/>
        </w:rPr>
        <w:t>1 前言</w:t>
      </w:r>
      <w:bookmarkEnd w:id="12"/>
      <w:bookmarkEnd w:id="13"/>
    </w:p>
    <w:p>
      <w:pPr>
        <w:bidi w:val="0"/>
        <w:rPr>
          <w:rFonts w:hint="default" w:ascii="Times New Roman" w:hAnsi="Times New Roman" w:cs="Times New Roman"/>
          <w:color w:val="auto"/>
        </w:rPr>
      </w:pPr>
      <w:r>
        <w:rPr>
          <w:rFonts w:hint="default" w:ascii="Times New Roman" w:hAnsi="Times New Roman" w:cs="Times New Roman"/>
        </w:rPr>
        <w:t>当前，我国已进入突发环境事件多发期和矛盾凸显期，环境问题已成为威胁人体健康、公共安全和社会稳定的重要因素之一。国务院高度重视环境风险防范与管理</w:t>
      </w:r>
      <w:r>
        <w:rPr>
          <w:rFonts w:hint="default" w:ascii="Times New Roman" w:hAnsi="Times New Roman" w:cs="Times New Roman"/>
          <w:lang w:eastAsia="zh-CN"/>
        </w:rPr>
        <w:t>，</w:t>
      </w:r>
      <w:r>
        <w:rPr>
          <w:rFonts w:hint="default" w:ascii="Times New Roman" w:hAnsi="Times New Roman" w:cs="Times New Roman"/>
        </w:rPr>
        <w:t>2016年12月，国务院印发《“十三五”生态环境保护规划》，第六章实行全程管控，有效防范和降低环境风险中第一节完善风险防控和应急响应体系中明确提出：加强风险评估与源头防控。完善企业突发环境事件风险评估制度，推进突发环境事件风险分类分级管理，严格重大突发环境事件风险企业监管</w:t>
      </w:r>
      <w:r>
        <w:rPr>
          <w:rFonts w:hint="default" w:ascii="Times New Roman" w:hAnsi="Times New Roman" w:cs="Times New Roman"/>
          <w:color w:val="auto"/>
        </w:rPr>
        <w:t>。</w:t>
      </w:r>
    </w:p>
    <w:p>
      <w:pPr>
        <w:bidi w:val="0"/>
        <w:rPr>
          <w:rFonts w:hint="default" w:ascii="Times New Roman" w:hAnsi="Times New Roman" w:cs="Times New Roman"/>
          <w:color w:val="auto"/>
        </w:rPr>
      </w:pPr>
      <w:r>
        <w:rPr>
          <w:rFonts w:hint="default" w:ascii="Times New Roman" w:hAnsi="Times New Roman" w:cs="Times New Roman"/>
          <w:color w:val="auto"/>
        </w:rPr>
        <w:t>2013年10月25日，为规范突发事件应急预案管理，增强应急预案的针对性、实用性和可操作性，依据《中华人民共和国突发事件应对法》等法律、行政法规，国务院制订了《突发事件应急预案管理办法》</w:t>
      </w:r>
      <w:r>
        <w:rPr>
          <w:rFonts w:hint="default" w:ascii="Times New Roman" w:hAnsi="Times New Roman" w:cs="Times New Roman"/>
          <w:color w:val="auto"/>
          <w:lang w:eastAsia="zh-CN"/>
        </w:rPr>
        <w:t>(</w:t>
      </w:r>
      <w:r>
        <w:rPr>
          <w:rFonts w:hint="default" w:ascii="Times New Roman" w:hAnsi="Times New Roman" w:cs="Times New Roman"/>
          <w:color w:val="auto"/>
        </w:rPr>
        <w:t>国办发〔2013〕101号</w:t>
      </w:r>
      <w:r>
        <w:rPr>
          <w:rFonts w:hint="default" w:ascii="Times New Roman" w:hAnsi="Times New Roman" w:cs="Times New Roman"/>
          <w:color w:val="auto"/>
          <w:lang w:eastAsia="zh-CN"/>
        </w:rPr>
        <w:t>)</w:t>
      </w:r>
      <w:r>
        <w:rPr>
          <w:rFonts w:hint="default" w:ascii="Times New Roman" w:hAnsi="Times New Roman" w:cs="Times New Roman"/>
          <w:color w:val="auto"/>
        </w:rPr>
        <w:t>。为贯彻落实《突发事件应急预案管理办法》</w:t>
      </w:r>
      <w:r>
        <w:rPr>
          <w:rFonts w:hint="default" w:ascii="Times New Roman" w:hAnsi="Times New Roman" w:cs="Times New Roman"/>
          <w:color w:val="auto"/>
          <w:lang w:eastAsia="zh-CN"/>
        </w:rPr>
        <w:t>(</w:t>
      </w:r>
      <w:r>
        <w:rPr>
          <w:rFonts w:hint="default" w:ascii="Times New Roman" w:hAnsi="Times New Roman" w:cs="Times New Roman"/>
          <w:color w:val="auto"/>
        </w:rPr>
        <w:t>国办发〔2013〕101号</w:t>
      </w:r>
      <w:r>
        <w:rPr>
          <w:rFonts w:hint="default" w:ascii="Times New Roman" w:hAnsi="Times New Roman" w:cs="Times New Roman"/>
          <w:color w:val="auto"/>
          <w:lang w:eastAsia="zh-CN"/>
        </w:rPr>
        <w:t>)</w:t>
      </w:r>
      <w:r>
        <w:rPr>
          <w:rFonts w:hint="default" w:ascii="Times New Roman" w:hAnsi="Times New Roman" w:cs="Times New Roman"/>
          <w:color w:val="auto"/>
        </w:rPr>
        <w:t>，环保部于2015年环保部发布了《企业事业单位突发环境事件应急应急预案备案管理办法</w:t>
      </w:r>
      <w:r>
        <w:rPr>
          <w:rFonts w:hint="default" w:ascii="Times New Roman" w:hAnsi="Times New Roman" w:cs="Times New Roman"/>
          <w:color w:val="auto"/>
          <w:lang w:eastAsia="zh-CN"/>
        </w:rPr>
        <w:t>(</w:t>
      </w:r>
      <w:r>
        <w:rPr>
          <w:rFonts w:hint="default" w:ascii="Times New Roman" w:hAnsi="Times New Roman" w:cs="Times New Roman"/>
          <w:color w:val="auto"/>
        </w:rPr>
        <w:t>试行</w:t>
      </w:r>
      <w:r>
        <w:rPr>
          <w:rFonts w:hint="default" w:ascii="Times New Roman" w:hAnsi="Times New Roman" w:cs="Times New Roman"/>
          <w:color w:val="auto"/>
          <w:lang w:eastAsia="zh-CN"/>
        </w:rPr>
        <w:t>)</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rPr>
        <w:t>环发[2015]4号</w:t>
      </w:r>
      <w:r>
        <w:rPr>
          <w:rFonts w:hint="default" w:ascii="Times New Roman" w:hAnsi="Times New Roman" w:cs="Times New Roman"/>
          <w:color w:val="auto"/>
          <w:lang w:eastAsia="zh-CN"/>
        </w:rPr>
        <w:t>)</w:t>
      </w:r>
      <w:r>
        <w:rPr>
          <w:rFonts w:hint="default" w:ascii="Times New Roman" w:hAnsi="Times New Roman" w:cs="Times New Roman"/>
          <w:color w:val="auto"/>
        </w:rPr>
        <w:t>文件，于2018年2月5日出台了《企业突发环境事件风险分级方法》</w:t>
      </w:r>
      <w:r>
        <w:rPr>
          <w:rFonts w:hint="default" w:ascii="Times New Roman" w:hAnsi="Times New Roman" w:cs="Times New Roman"/>
          <w:color w:val="auto"/>
          <w:lang w:eastAsia="zh-CN"/>
        </w:rPr>
        <w:t>(</w:t>
      </w:r>
      <w:r>
        <w:rPr>
          <w:rFonts w:hint="default" w:ascii="Times New Roman" w:hAnsi="Times New Roman" w:cs="Times New Roman"/>
          <w:color w:val="auto"/>
        </w:rPr>
        <w:t>HJ 941-2018</w:t>
      </w:r>
      <w:r>
        <w:rPr>
          <w:rFonts w:hint="default" w:ascii="Times New Roman" w:hAnsi="Times New Roman" w:cs="Times New Roman"/>
          <w:color w:val="auto"/>
          <w:lang w:eastAsia="zh-CN"/>
        </w:rPr>
        <w:t>)</w:t>
      </w:r>
      <w:r>
        <w:rPr>
          <w:rFonts w:hint="default" w:ascii="Times New Roman" w:hAnsi="Times New Roman" w:cs="Times New Roman"/>
          <w:color w:val="auto"/>
        </w:rPr>
        <w:t>。要求企业必须进行突发环境事件风险评估报告。</w:t>
      </w:r>
    </w:p>
    <w:p>
      <w:pPr>
        <w:bidi w:val="0"/>
        <w:rPr>
          <w:rFonts w:hint="default" w:ascii="Times New Roman" w:hAnsi="Times New Roman" w:cs="Times New Roman"/>
          <w:color w:val="auto"/>
        </w:rPr>
      </w:pPr>
      <w:r>
        <w:rPr>
          <w:rFonts w:hint="default" w:ascii="Times New Roman" w:hAnsi="Times New Roman" w:cs="Times New Roman"/>
        </w:rPr>
        <w:t>为更快更好的完成本次突发环境事件风险评估报告的编制工作，专门成立了编制工作组，在对</w:t>
      </w:r>
      <w:r>
        <w:rPr>
          <w:rFonts w:hint="default" w:ascii="Times New Roman" w:hAnsi="Times New Roman" w:eastAsia="宋体" w:cs="Times New Roman"/>
          <w:lang w:eastAsia="zh-CN"/>
        </w:rPr>
        <w:t>山东省润泰新材料有限公司</w:t>
      </w:r>
      <w:r>
        <w:rPr>
          <w:rFonts w:hint="default" w:ascii="Times New Roman" w:hAnsi="Times New Roman" w:eastAsia="宋体" w:cs="Times New Roman"/>
        </w:rPr>
        <w:t>现场勘察及相关资料收集、整理和研究的基础上，依据《企业突发环境事件风险评估指南（试行）》和《企业突发环境事件风险分级方法》(HJ941-2018)的要求，完成了本次风险评估报告的编制工作。本报告简述</w:t>
      </w:r>
      <w:r>
        <w:rPr>
          <w:rFonts w:hint="default" w:ascii="Times New Roman" w:hAnsi="Times New Roman" w:cs="Times New Roman"/>
        </w:rPr>
        <w:t>企业现状，细致描述了企业的原辅材料消耗及存储、周边环境受体调查、应急物资及救援队伍等内容，对企业可能出现的突发环境事件进行了环境风险评估，确定了企业的环境风险等级。通过对企业突发环境事件风险进行评估，以弥补防范措施的不足，最大限度减少人员伤亡和财产损失、降低环境损害和社会影响。保障公众安全，维护社会稳定，促进经济社会全面、协调、可持续发展</w:t>
      </w:r>
      <w:r>
        <w:rPr>
          <w:rFonts w:hint="default" w:ascii="Times New Roman" w:hAnsi="Times New Roman" w:cs="Times New Roman"/>
          <w:color w:val="auto"/>
        </w:rPr>
        <w:t>。</w:t>
      </w:r>
    </w:p>
    <w:p>
      <w:pPr>
        <w:pStyle w:val="3"/>
        <w:bidi w:val="0"/>
        <w:outlineLvl w:val="9"/>
        <w:rPr>
          <w:rFonts w:hint="default" w:ascii="Times New Roman" w:hAnsi="Times New Roman" w:cs="Times New Roman"/>
          <w:color w:val="auto"/>
        </w:rPr>
        <w:sectPr>
          <w:headerReference r:id="rId8" w:type="default"/>
          <w:footerReference r:id="rId9" w:type="default"/>
          <w:pgSz w:w="11906" w:h="16838"/>
          <w:pgMar w:top="1417" w:right="1417" w:bottom="1247" w:left="1587" w:header="850" w:footer="680" w:gutter="0"/>
          <w:pgBorders>
            <w:top w:val="none" w:sz="0" w:space="0"/>
            <w:left w:val="none" w:sz="0" w:space="0"/>
            <w:bottom w:val="none" w:sz="0" w:space="0"/>
            <w:right w:val="none" w:sz="0" w:space="0"/>
          </w:pgBorders>
          <w:pgNumType w:fmt="decimal" w:start="1"/>
          <w:cols w:space="720" w:num="1"/>
          <w:rtlGutter w:val="0"/>
          <w:docGrid w:type="lines" w:linePitch="330" w:charSpace="0"/>
        </w:sectPr>
      </w:pPr>
      <w:bookmarkStart w:id="14" w:name="_Toc444522056"/>
      <w:bookmarkStart w:id="15" w:name="_Toc7838"/>
    </w:p>
    <w:p>
      <w:pPr>
        <w:pStyle w:val="3"/>
        <w:bidi w:val="0"/>
        <w:rPr>
          <w:rFonts w:hint="default" w:ascii="Times New Roman" w:hAnsi="Times New Roman" w:cs="Times New Roman"/>
          <w:color w:val="auto"/>
        </w:rPr>
      </w:pPr>
      <w:bookmarkStart w:id="16" w:name="_Toc25286"/>
      <w:r>
        <w:rPr>
          <w:rFonts w:hint="default" w:ascii="Times New Roman" w:hAnsi="Times New Roman" w:cs="Times New Roman"/>
          <w:color w:val="auto"/>
        </w:rPr>
        <w:t>2 总则</w:t>
      </w:r>
      <w:bookmarkEnd w:id="14"/>
      <w:bookmarkEnd w:id="15"/>
      <w:bookmarkEnd w:id="16"/>
    </w:p>
    <w:p>
      <w:pPr>
        <w:pStyle w:val="4"/>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bookmarkStart w:id="17" w:name="_Toc444522057"/>
      <w:bookmarkStart w:id="18" w:name="_Toc31029"/>
      <w:bookmarkStart w:id="19" w:name="_Toc572"/>
      <w:r>
        <w:rPr>
          <w:rFonts w:hint="default" w:ascii="Times New Roman" w:hAnsi="Times New Roman" w:cs="Times New Roman"/>
          <w:color w:val="auto"/>
        </w:rPr>
        <w:t xml:space="preserve">2.1 </w:t>
      </w:r>
      <w:bookmarkEnd w:id="17"/>
      <w:bookmarkEnd w:id="18"/>
      <w:r>
        <w:rPr>
          <w:rFonts w:hint="default" w:ascii="Times New Roman" w:hAnsi="Times New Roman" w:cs="Times New Roman"/>
          <w:color w:val="auto"/>
        </w:rPr>
        <w:t>编制</w:t>
      </w:r>
      <w:r>
        <w:rPr>
          <w:rFonts w:hint="default" w:ascii="Times New Roman" w:hAnsi="Times New Roman" w:cs="Times New Roman"/>
          <w:color w:val="auto"/>
          <w:lang w:eastAsia="zh-CN"/>
        </w:rPr>
        <w:t>目的</w:t>
      </w:r>
      <w:bookmarkEnd w:id="19"/>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rPr>
      </w:pPr>
      <w:r>
        <w:rPr>
          <w:rFonts w:hint="default" w:ascii="Times New Roman" w:hAnsi="Times New Roman" w:cs="Times New Roman"/>
          <w:lang w:eastAsia="zh-CN"/>
        </w:rPr>
        <w:t>(</w:t>
      </w:r>
      <w:r>
        <w:rPr>
          <w:rFonts w:hint="default" w:ascii="Times New Roman" w:hAnsi="Times New Roman" w:cs="Times New Roman"/>
          <w:lang w:val="en-US" w:eastAsia="zh-CN"/>
        </w:rPr>
        <w:t>1</w:t>
      </w:r>
      <w:r>
        <w:rPr>
          <w:rFonts w:hint="default" w:ascii="Times New Roman" w:hAnsi="Times New Roman" w:cs="Times New Roman"/>
          <w:lang w:eastAsia="zh-CN"/>
        </w:rPr>
        <w:t xml:space="preserve">) </w:t>
      </w:r>
      <w:r>
        <w:rPr>
          <w:rFonts w:hint="default" w:ascii="Times New Roman" w:hAnsi="Times New Roman" w:cs="Times New Roman"/>
        </w:rPr>
        <w:t>通过系统性的分析和测算，识别企业环境风险物质、环境风险装置，确定企业环境风险源，计算其对外环境敏感点影响后果，评估企业现有防控能力和水平，并提出切实可行降低环境风险的措施和工作思路；</w:t>
      </w:r>
    </w:p>
    <w:p>
      <w:pPr>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lang w:val="en-US" w:eastAsia="zh-CN"/>
        </w:rPr>
      </w:pPr>
      <w:r>
        <w:rPr>
          <w:rFonts w:hint="default" w:ascii="Times New Roman" w:hAnsi="Times New Roman" w:cs="Times New Roman"/>
          <w:lang w:eastAsia="zh-CN"/>
        </w:rPr>
        <w:t>(2) 作为企业环境风险防范的基础文件，为环境应急预案、管理和工程上的改进提供依据；</w:t>
      </w:r>
      <w:r>
        <w:rPr>
          <w:rFonts w:hint="default" w:ascii="Times New Roman" w:hAnsi="Times New Roman" w:cs="Times New Roman"/>
          <w:lang w:val="en-US" w:eastAsia="zh-CN"/>
        </w:rPr>
        <w:t>为后期的企业环境风险监管奠定基础，提高企业环境风险防范与控制技术水平，最终达到大幅度降低发生概率和事故影响的目的。</w:t>
      </w:r>
    </w:p>
    <w:p>
      <w:pPr>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rPr>
      </w:pPr>
      <w:r>
        <w:rPr>
          <w:rFonts w:hint="default" w:ascii="Times New Roman" w:hAnsi="Times New Roman" w:cs="Times New Roman"/>
          <w:lang w:eastAsia="zh-CN"/>
        </w:rPr>
        <w:t xml:space="preserve">(3) </w:t>
      </w:r>
      <w:r>
        <w:rPr>
          <w:rFonts w:hint="default" w:ascii="Times New Roman" w:hAnsi="Times New Roman" w:cs="Times New Roman"/>
          <w:lang w:val="en-US" w:eastAsia="zh-CN"/>
        </w:rPr>
        <w:t>有利于各地环保部门加强对高环境风险企业的针对性监督管理，提高管理效率，降低管理成本</w:t>
      </w:r>
      <w:r>
        <w:rPr>
          <w:rFonts w:hint="default" w:ascii="Times New Roman" w:hAnsi="Times New Roman" w:cs="Times New Roman"/>
          <w:color w:val="auto"/>
        </w:rPr>
        <w:t>。</w:t>
      </w:r>
    </w:p>
    <w:p>
      <w:pPr>
        <w:pStyle w:val="4"/>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rPr>
      </w:pPr>
      <w:bookmarkStart w:id="20" w:name="_Toc444522058"/>
      <w:bookmarkStart w:id="21" w:name="_Toc18952"/>
      <w:bookmarkStart w:id="22" w:name="_Toc20553"/>
      <w:r>
        <w:rPr>
          <w:rFonts w:hint="default" w:ascii="Times New Roman" w:hAnsi="Times New Roman" w:cs="Times New Roman"/>
          <w:color w:val="auto"/>
        </w:rPr>
        <w:t xml:space="preserve">2.2 </w:t>
      </w:r>
      <w:r>
        <w:rPr>
          <w:rFonts w:hint="default" w:ascii="Times New Roman" w:hAnsi="Times New Roman" w:cs="Times New Roman"/>
          <w:color w:val="auto"/>
          <w:lang w:val="en-US" w:eastAsia="zh-CN"/>
        </w:rPr>
        <w:t>编制</w:t>
      </w:r>
      <w:r>
        <w:rPr>
          <w:rFonts w:hint="default" w:ascii="Times New Roman" w:hAnsi="Times New Roman" w:cs="Times New Roman"/>
          <w:color w:val="auto"/>
        </w:rPr>
        <w:t>原则</w:t>
      </w:r>
      <w:bookmarkEnd w:id="20"/>
      <w:bookmarkEnd w:id="21"/>
      <w:bookmarkEnd w:id="22"/>
    </w:p>
    <w:p>
      <w:pPr>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lang w:eastAsia="zh-CN"/>
        </w:rPr>
      </w:pPr>
      <w:r>
        <w:rPr>
          <w:rFonts w:hint="default" w:ascii="Times New Roman" w:hAnsi="Times New Roman" w:cs="Times New Roman"/>
          <w:lang w:eastAsia="zh-CN"/>
        </w:rPr>
        <w:t>按照“以人为本”的宗旨，合理保障人民群众的身体健康和环境安全，严格规范企业突发环境事件风险评估行为，提高突发环境事件防控能力，全面落实企业环境风险防控主体，开展环境风险评估工作遵循以下原则：</w:t>
      </w:r>
    </w:p>
    <w:p>
      <w:pPr>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lang w:eastAsia="zh-CN"/>
        </w:rPr>
      </w:pPr>
      <w:r>
        <w:rPr>
          <w:rFonts w:hint="default" w:ascii="Times New Roman" w:hAnsi="Times New Roman" w:cs="Times New Roman"/>
          <w:lang w:eastAsia="zh-CN"/>
        </w:rPr>
        <w:t>(1) 环境风险评估编制应体现科学性、规范性、客观性和真实性的原则；</w:t>
      </w:r>
    </w:p>
    <w:p>
      <w:pPr>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rPr>
      </w:pPr>
      <w:r>
        <w:rPr>
          <w:rFonts w:hint="default" w:ascii="Times New Roman" w:hAnsi="Times New Roman" w:cs="Times New Roman"/>
          <w:lang w:eastAsia="zh-CN"/>
        </w:rPr>
        <w:t>(2) 环境风险评估过程中应贯彻执行我国环保相关的法律法规、标准、政策，分析企业自身环境风险状况，明确环境风险防控措施</w:t>
      </w:r>
      <w:r>
        <w:rPr>
          <w:rFonts w:hint="default" w:ascii="Times New Roman" w:hAnsi="Times New Roman" w:cs="Times New Roman"/>
          <w:color w:val="auto"/>
        </w:rPr>
        <w:t>。</w:t>
      </w:r>
    </w:p>
    <w:p>
      <w:pPr>
        <w:pStyle w:val="4"/>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lang w:val="en-US" w:eastAsia="zh-CN"/>
        </w:rPr>
      </w:pPr>
      <w:bookmarkStart w:id="23" w:name="_Toc444522059"/>
      <w:bookmarkStart w:id="24" w:name="_Toc2231"/>
      <w:bookmarkStart w:id="25" w:name="_Toc27781"/>
      <w:r>
        <w:rPr>
          <w:rFonts w:hint="default" w:ascii="Times New Roman" w:hAnsi="Times New Roman" w:cs="Times New Roman"/>
          <w:lang w:val="en-US" w:eastAsia="zh-CN"/>
        </w:rPr>
        <w:t>2.3 编制依据</w:t>
      </w:r>
      <w:bookmarkEnd w:id="23"/>
      <w:bookmarkEnd w:id="24"/>
      <w:bookmarkEnd w:id="25"/>
    </w:p>
    <w:p>
      <w:pPr>
        <w:pStyle w:val="5"/>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lang w:val="en-US" w:eastAsia="zh-CN"/>
        </w:rPr>
      </w:pPr>
      <w:bookmarkStart w:id="26" w:name="_Toc11569"/>
      <w:bookmarkStart w:id="27" w:name="_Toc16775"/>
      <w:r>
        <w:rPr>
          <w:rFonts w:hint="default" w:ascii="Times New Roman" w:hAnsi="Times New Roman" w:cs="Times New Roman"/>
          <w:lang w:val="en-US" w:eastAsia="zh-CN"/>
        </w:rPr>
        <w:t>2.3.1相关法律法规</w:t>
      </w:r>
      <w:bookmarkEnd w:id="26"/>
      <w:bookmarkEnd w:id="27"/>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《中华人民共和国环境保护法》，中华人民共和国主席令第9号，第十二届人大常委会第八次会议于2014年4月24日修订通过，自2015年1月1日起施行；</w:t>
      </w:r>
    </w:p>
    <w:p>
      <w:pPr>
        <w:numPr>
          <w:ilvl w:val="0"/>
          <w:numId w:val="3"/>
        </w:numPr>
        <w:bidi w:val="0"/>
        <w:snapToGrid w:val="0"/>
        <w:ind w:firstLine="1044"/>
        <w:rPr>
          <w:rFonts w:hint="default" w:ascii="Times New Roman" w:hAnsi="Times New Roman" w:eastAsia="宋体" w:cs="Times New Roman"/>
          <w:lang w:val="zh-CN"/>
        </w:rPr>
      </w:pPr>
      <w:r>
        <w:rPr>
          <w:rFonts w:hint="default" w:ascii="Times New Roman" w:hAnsi="Times New Roman" w:eastAsia="宋体" w:cs="Times New Roman"/>
        </w:rPr>
        <w:t>《中华人民共和国安全生产法》，中华人民共和国主席令70号，2002年6月29日通过公布；</w:t>
      </w:r>
      <w:r>
        <w:rPr>
          <w:rFonts w:hint="default" w:ascii="Times New Roman" w:hAnsi="Times New Roman" w:eastAsia="宋体" w:cs="Times New Roman"/>
          <w:lang w:val="en-US" w:eastAsia="zh-CN"/>
        </w:rPr>
        <w:t>2021年6月10日第十三届全国人民代表大会常务委员会第二十九次会议第三次修正；</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lang w:val="zh-CN"/>
        </w:rPr>
        <w:t>中华人民共和国噪声污染防治法》，</w:t>
      </w:r>
      <w:r>
        <w:rPr>
          <w:rFonts w:hint="default" w:ascii="Times New Roman" w:hAnsi="Times New Roman" w:eastAsia="宋体" w:cs="Times New Roman"/>
        </w:rPr>
        <w:t>中华人民共和国主席令</w:t>
      </w:r>
      <w:r>
        <w:rPr>
          <w:rFonts w:hint="default" w:ascii="Times New Roman" w:hAnsi="Times New Roman" w:eastAsia="宋体" w:cs="Times New Roman"/>
          <w:lang w:val="en-US" w:eastAsia="zh-CN"/>
        </w:rPr>
        <w:t>104</w:t>
      </w:r>
      <w:r>
        <w:rPr>
          <w:rFonts w:hint="default" w:ascii="Times New Roman" w:hAnsi="Times New Roman" w:eastAsia="宋体" w:cs="Times New Roman"/>
        </w:rPr>
        <w:t>号，</w:t>
      </w:r>
      <w:r>
        <w:rPr>
          <w:rFonts w:hint="default" w:ascii="Times New Roman" w:hAnsi="Times New Roman" w:eastAsia="宋体" w:cs="Times New Roman"/>
          <w:lang w:eastAsia="zh-CN"/>
        </w:rPr>
        <w:t>第十三</w:t>
      </w:r>
      <w:r>
        <w:rPr>
          <w:rFonts w:hint="default" w:ascii="Times New Roman" w:hAnsi="Times New Roman" w:eastAsia="宋体" w:cs="Times New Roman"/>
        </w:rPr>
        <w:t>届人大常委会</w:t>
      </w:r>
      <w:r>
        <w:rPr>
          <w:rFonts w:hint="default" w:ascii="Times New Roman" w:hAnsi="Times New Roman" w:eastAsia="宋体" w:cs="Times New Roman"/>
          <w:lang w:eastAsia="zh-CN"/>
        </w:rPr>
        <w:t>三十</w:t>
      </w:r>
      <w:r>
        <w:rPr>
          <w:rFonts w:hint="default" w:ascii="Times New Roman" w:hAnsi="Times New Roman" w:eastAsia="宋体" w:cs="Times New Roman"/>
        </w:rPr>
        <w:t>二次会议于</w:t>
      </w:r>
      <w:r>
        <w:rPr>
          <w:rFonts w:hint="default" w:ascii="Times New Roman" w:hAnsi="Times New Roman" w:eastAsia="宋体" w:cs="Times New Roman"/>
          <w:lang w:val="en-US" w:eastAsia="zh-CN"/>
        </w:rPr>
        <w:t>2021</w:t>
      </w:r>
      <w:r>
        <w:rPr>
          <w:rFonts w:hint="default" w:ascii="Times New Roman" w:hAnsi="Times New Roman" w:eastAsia="宋体" w:cs="Times New Roman"/>
        </w:rPr>
        <w:t>年</w:t>
      </w:r>
      <w:r>
        <w:rPr>
          <w:rFonts w:hint="default" w:ascii="Times New Roman" w:hAnsi="Times New Roman" w:eastAsia="宋体" w:cs="Times New Roman"/>
          <w:lang w:val="en-US" w:eastAsia="zh-CN"/>
        </w:rPr>
        <w:t>12</w:t>
      </w:r>
      <w:r>
        <w:rPr>
          <w:rFonts w:hint="default" w:ascii="Times New Roman" w:hAnsi="Times New Roman" w:eastAsia="宋体" w:cs="Times New Roman"/>
        </w:rPr>
        <w:t>月2</w:t>
      </w:r>
      <w:r>
        <w:rPr>
          <w:rFonts w:hint="default" w:ascii="Times New Roman" w:hAnsi="Times New Roman" w:eastAsia="宋体" w:cs="Times New Roman"/>
          <w:lang w:val="en-US" w:eastAsia="zh-CN"/>
        </w:rPr>
        <w:t>4</w:t>
      </w:r>
      <w:r>
        <w:rPr>
          <w:rFonts w:hint="default" w:ascii="Times New Roman" w:hAnsi="Times New Roman" w:eastAsia="宋体" w:cs="Times New Roman"/>
        </w:rPr>
        <w:t>日通过，自</w:t>
      </w:r>
      <w:r>
        <w:rPr>
          <w:rFonts w:hint="default" w:ascii="Times New Roman" w:hAnsi="Times New Roman" w:eastAsia="宋体" w:cs="Times New Roman"/>
          <w:lang w:val="en-US" w:eastAsia="zh-CN"/>
        </w:rPr>
        <w:t>2022</w:t>
      </w:r>
      <w:r>
        <w:rPr>
          <w:rFonts w:hint="default" w:ascii="Times New Roman" w:hAnsi="Times New Roman" w:eastAsia="宋体" w:cs="Times New Roman"/>
        </w:rPr>
        <w:t>年</w:t>
      </w:r>
      <w:r>
        <w:rPr>
          <w:rFonts w:hint="default" w:ascii="Times New Roman" w:hAnsi="Times New Roman" w:eastAsia="宋体" w:cs="Times New Roman"/>
          <w:lang w:val="en-US" w:eastAsia="zh-CN"/>
        </w:rPr>
        <w:t>6</w:t>
      </w:r>
      <w:r>
        <w:rPr>
          <w:rFonts w:hint="default" w:ascii="Times New Roman" w:hAnsi="Times New Roman" w:eastAsia="宋体" w:cs="Times New Roman"/>
        </w:rPr>
        <w:t>月</w:t>
      </w:r>
      <w:r>
        <w:rPr>
          <w:rFonts w:hint="default" w:ascii="Times New Roman" w:hAnsi="Times New Roman" w:eastAsia="宋体" w:cs="Times New Roman"/>
          <w:lang w:val="en-US" w:eastAsia="zh-CN"/>
        </w:rPr>
        <w:t>5</w:t>
      </w:r>
      <w:r>
        <w:rPr>
          <w:rFonts w:hint="default" w:ascii="Times New Roman" w:hAnsi="Times New Roman" w:eastAsia="宋体" w:cs="Times New Roman"/>
        </w:rPr>
        <w:t>日起施行；</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《中华人民共和国 大气污染防治法》，中华人民共和国主席令32号，第十二届全国人民代表大会常务委员会第十六次会议于2015年8月29日修订通过，自2016年1月1日起施行；2018年10月26日修订通过并施行；</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《中华人民共和国固体废物污染环境防治法》(中华人民共和国主席令四十三号，2020年9月1日施行)；</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《中华人民共和国土壤污染防治法》(主席令第8号，2019年1月1日起实施)；</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《中华人民共和国水污染防治法》，中华人民共和国主席令70号，中华人民共和国第十二届全国人民代表大会常务委员会第二十八次会议于2017年6月27日通过，自2018年1月1日起施行；</w:t>
      </w:r>
    </w:p>
    <w:p>
      <w:pPr>
        <w:numPr>
          <w:ilvl w:val="0"/>
          <w:numId w:val="3"/>
        </w:numPr>
        <w:bidi w:val="0"/>
        <w:snapToGrid w:val="0"/>
        <w:ind w:firstLine="1044"/>
        <w:rPr>
          <w:rFonts w:hint="default" w:ascii="Times New Roman" w:hAnsi="Times New Roman" w:eastAsia="宋体" w:cs="Times New Roman"/>
          <w:lang w:val="zh-CN"/>
        </w:rPr>
      </w:pPr>
      <w:r>
        <w:rPr>
          <w:rFonts w:hint="default" w:ascii="Times New Roman" w:hAnsi="Times New Roman" w:eastAsia="宋体" w:cs="Times New Roman"/>
          <w:lang w:val="zh-CN"/>
        </w:rPr>
        <w:t>《建设项目环境保护管理条例》（国务院令第682号，2017年10月1日起施行）</w:t>
      </w:r>
    </w:p>
    <w:p>
      <w:pPr>
        <w:numPr>
          <w:ilvl w:val="0"/>
          <w:numId w:val="3"/>
        </w:numPr>
        <w:bidi w:val="0"/>
        <w:snapToGrid w:val="0"/>
        <w:ind w:firstLine="1044"/>
        <w:rPr>
          <w:rFonts w:hint="default" w:ascii="Times New Roman" w:hAnsi="Times New Roman" w:eastAsia="宋体" w:cs="Times New Roman"/>
          <w:lang w:val="zh-CN"/>
        </w:rPr>
      </w:pPr>
      <w:r>
        <w:rPr>
          <w:rFonts w:hint="default" w:ascii="Times New Roman" w:hAnsi="Times New Roman" w:eastAsia="宋体" w:cs="Times New Roman"/>
          <w:lang w:val="zh-CN"/>
        </w:rPr>
        <w:t>《中华人民共和国突发事件应对法》（主席令第69号，2007年8月30日）；</w:t>
      </w:r>
    </w:p>
    <w:p>
      <w:pPr>
        <w:numPr>
          <w:ilvl w:val="0"/>
          <w:numId w:val="3"/>
        </w:numPr>
        <w:bidi w:val="0"/>
        <w:snapToGrid w:val="0"/>
        <w:ind w:firstLine="1044"/>
        <w:rPr>
          <w:rFonts w:hint="default" w:ascii="Times New Roman" w:hAnsi="Times New Roman" w:eastAsia="宋体" w:cs="Times New Roman"/>
          <w:lang w:val="zh-CN"/>
        </w:rPr>
      </w:pPr>
      <w:r>
        <w:rPr>
          <w:rFonts w:hint="default" w:ascii="Times New Roman" w:hAnsi="Times New Roman" w:eastAsia="宋体" w:cs="Times New Roman"/>
          <w:lang w:val="zh-CN"/>
        </w:rPr>
        <w:t>《中华人民共和国消防法》（</w:t>
      </w:r>
      <w:r>
        <w:rPr>
          <w:rFonts w:hint="default" w:ascii="Times New Roman" w:hAnsi="Times New Roman" w:eastAsia="宋体" w:cs="Times New Roman"/>
          <w:lang w:val="en-US" w:eastAsia="zh-CN"/>
        </w:rPr>
        <w:t>2021.4.29修订</w:t>
      </w:r>
      <w:r>
        <w:rPr>
          <w:rFonts w:hint="default" w:ascii="Times New Roman" w:hAnsi="Times New Roman" w:eastAsia="宋体" w:cs="Times New Roman"/>
          <w:lang w:val="zh-CN"/>
        </w:rPr>
        <w:t>）；</w:t>
      </w:r>
    </w:p>
    <w:p>
      <w:pPr>
        <w:numPr>
          <w:ilvl w:val="0"/>
          <w:numId w:val="3"/>
        </w:numPr>
        <w:bidi w:val="0"/>
        <w:snapToGrid w:val="0"/>
        <w:ind w:firstLine="1044"/>
        <w:rPr>
          <w:rFonts w:hint="default" w:ascii="Times New Roman" w:hAnsi="Times New Roman" w:eastAsia="宋体" w:cs="Times New Roman"/>
          <w:lang w:val="zh-CN"/>
        </w:rPr>
      </w:pPr>
      <w:r>
        <w:rPr>
          <w:rFonts w:hint="default" w:ascii="Times New Roman" w:hAnsi="Times New Roman" w:eastAsia="宋体" w:cs="Times New Roman"/>
          <w:lang w:val="zh-CN"/>
        </w:rPr>
        <w:t>《建设项目环境保护管理条例》（1998年11月29日中华人民共和国国务院令第253号发布</w:t>
      </w:r>
      <w:r>
        <w:rPr>
          <w:rFonts w:hint="default" w:ascii="Times New Roman" w:hAnsi="Times New Roman" w:eastAsia="宋体" w:cs="Times New Roman"/>
          <w:lang w:val="zh-CN" w:eastAsia="zh-CN"/>
        </w:rPr>
        <w:t>，</w:t>
      </w:r>
      <w:r>
        <w:rPr>
          <w:rFonts w:hint="default" w:ascii="Times New Roman" w:hAnsi="Times New Roman" w:eastAsia="宋体" w:cs="Times New Roman"/>
          <w:lang w:val="zh-CN"/>
        </w:rPr>
        <w:t>根据2017年7月16日《国务院关于修改〈建设项目环境保护管理条例〉的决定》修订）；</w:t>
      </w:r>
      <w:r>
        <w:rPr>
          <w:rFonts w:hint="default" w:ascii="Times New Roman" w:hAnsi="Times New Roman" w:eastAsia="宋体" w:cs="Times New Roman"/>
          <w:lang w:val="en-US" w:eastAsia="zh-CN"/>
        </w:rPr>
        <w:t xml:space="preserve"> </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《关于印发&lt;企业事业单位突发环境事件风险评估指南(试行)&gt;的通知》，环境保护部办公厅，环办[2014]34号，2014年4月3日；</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《突发环境事件应急预案管理办法》，国务院办公厅，国办发[2013]101号，2013年10月25日；</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《企业事业单位突发环境事件应急预案备案管理办法(试行)&gt;》；环境保护部，环办[2015]4号，2015年1月8日；</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关于发布《企业突发环境事件隐患排查和治理工作指南（试行）》；环境保护部令第74号令，2016年12月12日；</w:t>
      </w:r>
    </w:p>
    <w:p>
      <w:pPr>
        <w:numPr>
          <w:ilvl w:val="0"/>
          <w:numId w:val="3"/>
        </w:num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《应急保障重点物资分类目录（2015年）》（发改办运行〔2015〕825号）</w:t>
      </w:r>
      <w:r>
        <w:rPr>
          <w:rFonts w:hint="default" w:ascii="Times New Roman" w:hAnsi="Times New Roman" w:eastAsia="宋体" w:cs="Times New Roman"/>
          <w:lang w:eastAsia="zh-CN"/>
        </w:rPr>
        <w:t>。</w:t>
      </w:r>
    </w:p>
    <w:p>
      <w:pPr>
        <w:pStyle w:val="5"/>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lang w:val="en-US" w:eastAsia="zh-CN"/>
        </w:rPr>
      </w:pPr>
      <w:bookmarkStart w:id="28" w:name="_Toc12064"/>
      <w:r>
        <w:rPr>
          <w:rFonts w:hint="default" w:ascii="Times New Roman" w:hAnsi="Times New Roman" w:cs="Times New Roman"/>
          <w:lang w:val="en-US" w:eastAsia="zh-CN"/>
        </w:rPr>
        <w:t>2.3.2 地方法律法规</w:t>
      </w:r>
      <w:bookmarkEnd w:id="28"/>
    </w:p>
    <w:p>
      <w:pPr>
        <w:numPr>
          <w:ilvl w:val="0"/>
          <w:numId w:val="4"/>
        </w:numPr>
        <w:bidi w:val="0"/>
        <w:snapToGrid w:val="0"/>
        <w:ind w:left="0" w:leftChars="0" w:firstLine="413"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《山东省环境保护条例》(2019.01.01)；</w:t>
      </w:r>
    </w:p>
    <w:p>
      <w:pPr>
        <w:numPr>
          <w:ilvl w:val="0"/>
          <w:numId w:val="4"/>
        </w:numPr>
        <w:bidi w:val="0"/>
        <w:snapToGrid w:val="0"/>
        <w:ind w:left="0" w:leftChars="0" w:firstLine="413"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《山东省大气污染防治条例》(2018.11.30)；</w:t>
      </w:r>
    </w:p>
    <w:p>
      <w:pPr>
        <w:numPr>
          <w:ilvl w:val="0"/>
          <w:numId w:val="4"/>
        </w:numPr>
        <w:bidi w:val="0"/>
        <w:snapToGrid w:val="0"/>
        <w:ind w:left="0" w:leftChars="0" w:firstLine="413"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《山东省土壤污染防治条例》(2020.01.01)；</w:t>
      </w:r>
    </w:p>
    <w:p>
      <w:pPr>
        <w:numPr>
          <w:ilvl w:val="0"/>
          <w:numId w:val="4"/>
        </w:numPr>
        <w:bidi w:val="0"/>
        <w:snapToGrid w:val="0"/>
        <w:ind w:left="0" w:leftChars="0" w:firstLine="413"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《山东省水污染防治条例》(2020.11.27)；</w:t>
      </w:r>
    </w:p>
    <w:p>
      <w:pPr>
        <w:numPr>
          <w:ilvl w:val="0"/>
          <w:numId w:val="4"/>
        </w:numPr>
        <w:bidi w:val="0"/>
        <w:snapToGrid w:val="0"/>
        <w:ind w:left="0" w:leftChars="0" w:firstLine="413"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《山东省突发事件应急预案管理办法》(2014.03.27)；</w:t>
      </w:r>
    </w:p>
    <w:p>
      <w:pPr>
        <w:numPr>
          <w:ilvl w:val="0"/>
          <w:numId w:val="4"/>
        </w:numPr>
        <w:bidi w:val="0"/>
        <w:snapToGrid w:val="0"/>
        <w:ind w:left="0" w:leftChars="0" w:firstLine="413"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《建筑设计防火规范》（GB50016-2014），2021年9月14日；</w:t>
      </w:r>
    </w:p>
    <w:p>
      <w:pPr>
        <w:numPr>
          <w:ilvl w:val="0"/>
          <w:numId w:val="4"/>
        </w:numPr>
        <w:bidi w:val="0"/>
        <w:snapToGrid w:val="0"/>
        <w:ind w:left="0" w:leftChars="0" w:firstLine="413"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《山东省突发事件应对条例》(2012.09.01)；</w:t>
      </w:r>
    </w:p>
    <w:p>
      <w:pPr>
        <w:numPr>
          <w:ilvl w:val="0"/>
          <w:numId w:val="4"/>
        </w:numPr>
        <w:bidi w:val="0"/>
        <w:snapToGrid w:val="0"/>
        <w:ind w:left="0" w:leftChars="0" w:firstLine="413"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《关于印发&lt;山东省突发环境事件应急预案&gt;的通知》(鲁政办字[2020]50号)(2020年4月22日)；</w:t>
      </w:r>
    </w:p>
    <w:p>
      <w:pPr>
        <w:numPr>
          <w:ilvl w:val="0"/>
          <w:numId w:val="4"/>
        </w:numPr>
        <w:bidi w:val="0"/>
        <w:snapToGrid w:val="0"/>
        <w:ind w:left="0" w:leftChars="0" w:firstLine="413" w:firstLineChars="0"/>
        <w:rPr>
          <w:rFonts w:hint="default" w:ascii="Times New Roman" w:hAnsi="Times New Roman" w:eastAsia="宋体" w:cs="Times New Roman"/>
        </w:rPr>
      </w:pPr>
      <w:r>
        <w:rPr>
          <w:rFonts w:hint="default" w:ascii="Times New Roman" w:hAnsi="Times New Roman" w:eastAsia="宋体" w:cs="Times New Roman"/>
        </w:rPr>
        <w:t>《枣庄市突发环境事件应急预案》</w:t>
      </w:r>
      <w:r>
        <w:rPr>
          <w:rFonts w:hint="default" w:ascii="Times New Roman" w:hAnsi="Times New Roman" w:eastAsia="宋体" w:cs="Times New Roman"/>
          <w:lang w:eastAsia="zh-CN"/>
        </w:rPr>
        <w:t>；</w:t>
      </w:r>
    </w:p>
    <w:p>
      <w:pPr>
        <w:numPr>
          <w:ilvl w:val="0"/>
          <w:numId w:val="4"/>
        </w:numPr>
        <w:bidi w:val="0"/>
        <w:snapToGrid w:val="0"/>
        <w:ind w:left="0" w:leftChars="0" w:firstLine="413" w:firstLineChars="0"/>
        <w:rPr>
          <w:rFonts w:hint="default" w:ascii="Times New Roman" w:hAnsi="Times New Roman" w:eastAsia="宋体" w:cs="Times New Roman"/>
          <w:lang w:eastAsia="zh-CN"/>
        </w:rPr>
      </w:pPr>
      <w:r>
        <w:rPr>
          <w:rFonts w:hint="default" w:ascii="Times New Roman" w:hAnsi="Times New Roman" w:eastAsia="宋体" w:cs="Times New Roman"/>
        </w:rPr>
        <w:t>《</w:t>
      </w:r>
      <w:r>
        <w:rPr>
          <w:rFonts w:hint="default" w:ascii="Times New Roman" w:hAnsi="Times New Roman" w:eastAsia="宋体" w:cs="Times New Roman"/>
          <w:lang w:eastAsia="zh-CN"/>
        </w:rPr>
        <w:t>山东省人民政务关于印发山东省“十四五”生态环境保护规划的通知</w:t>
      </w:r>
      <w:r>
        <w:rPr>
          <w:rFonts w:hint="default" w:ascii="Times New Roman" w:hAnsi="Times New Roman" w:eastAsia="宋体" w:cs="Times New Roman"/>
        </w:rPr>
        <w:t>》（</w:t>
      </w:r>
      <w:r>
        <w:rPr>
          <w:rFonts w:hint="default" w:ascii="Times New Roman" w:hAnsi="Times New Roman" w:eastAsia="宋体" w:cs="Times New Roman"/>
          <w:lang w:eastAsia="zh-CN"/>
        </w:rPr>
        <w:t>鲁政法</w:t>
      </w:r>
      <w:r>
        <w:rPr>
          <w:rFonts w:hint="default" w:ascii="Times New Roman" w:hAnsi="Times New Roman" w:eastAsia="宋体" w:cs="Times New Roman"/>
        </w:rPr>
        <w:t>〔</w:t>
      </w:r>
      <w:r>
        <w:rPr>
          <w:rFonts w:hint="default" w:ascii="Times New Roman" w:hAnsi="Times New Roman" w:eastAsia="宋体" w:cs="Times New Roman"/>
          <w:lang w:val="en-US" w:eastAsia="zh-CN"/>
        </w:rPr>
        <w:t>2021</w:t>
      </w:r>
      <w:r>
        <w:rPr>
          <w:rFonts w:hint="default" w:ascii="Times New Roman" w:hAnsi="Times New Roman" w:eastAsia="宋体" w:cs="Times New Roman"/>
        </w:rPr>
        <w:t>〕</w:t>
      </w:r>
      <w:r>
        <w:rPr>
          <w:rFonts w:hint="default" w:ascii="Times New Roman" w:hAnsi="Times New Roman" w:eastAsia="宋体" w:cs="Times New Roman"/>
          <w:lang w:val="en-US" w:eastAsia="zh-CN"/>
        </w:rPr>
        <w:t>12号</w:t>
      </w:r>
      <w:r>
        <w:rPr>
          <w:rFonts w:hint="default" w:ascii="Times New Roman" w:hAnsi="Times New Roman" w:eastAsia="宋体" w:cs="Times New Roman"/>
        </w:rPr>
        <w:t>）</w:t>
      </w:r>
      <w:r>
        <w:rPr>
          <w:rFonts w:hint="default" w:ascii="Times New Roman" w:hAnsi="Times New Roman" w:eastAsia="宋体" w:cs="Times New Roman"/>
          <w:lang w:eastAsia="zh-CN"/>
        </w:rPr>
        <w:t>。</w:t>
      </w:r>
    </w:p>
    <w:p>
      <w:pPr>
        <w:pStyle w:val="5"/>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lang w:val="en-US" w:eastAsia="zh-CN"/>
        </w:rPr>
      </w:pPr>
      <w:bookmarkStart w:id="29" w:name="_Toc12972"/>
      <w:r>
        <w:rPr>
          <w:rFonts w:hint="default" w:ascii="Times New Roman" w:hAnsi="Times New Roman" w:cs="Times New Roman"/>
          <w:lang w:val="en-US" w:eastAsia="zh-CN"/>
        </w:rPr>
        <w:t>2.3.3 相关技术规范</w:t>
      </w:r>
      <w:bookmarkEnd w:id="29"/>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《建设项目环境风险评价技术导则》(HJ</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169-2018)；</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《危险化学品重大危险源辨识》(GB18218-2018)；</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《危险废物鉴别技术规范》（HJ/T298-2019）；</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《危险化学品目录》(2018版)；</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《国家危险废物名录》部令第15号(2021年版)；</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《危险废物鉴别标准 通则》（GB5085.7-2019）；</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《危险废物鉴别标准 腐蚀性鉴别》（GB5085.1-2007）；</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《危险废物鉴别标准 急性毒性初筛》（GB5085.2-2007）；</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《危险废物鉴别标准 浸出毒性鉴别》（GB5085.3-2007）；</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《危险废物鉴别标准 易燃性鉴别》（GB5085.4-2007）；</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《危险废物鉴别标准 反应性鉴别》（GB5085.5-2007）；</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《危险废物鉴别标准 毒性物质含量鉴别》（GB5085.6-2007）；</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《固体废物鉴别标准  通则》（GB34330-2017）</w:t>
      </w:r>
      <w:r>
        <w:rPr>
          <w:rFonts w:hint="default" w:ascii="Times New Roman" w:hAnsi="Times New Roman" w:eastAsia="宋体" w:cs="Times New Roman"/>
          <w:lang w:eastAsia="zh-CN"/>
        </w:rPr>
        <w:t>；</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《常用危险化学品的分类及标志》(GB13690-2009)；</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《常用化学危险品贮存通则》(GB15603-1995)；</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《环境空气质量标准》(GB3095-2012及2018年修改单)；</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《地表水环境质量标准》(GB3838-2002)；</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《地下水质量标准》(GB/T14848-2017)；</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《声环境质量标准》(GB3096-2008)；</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《大气污染物综合排放标准》(GB16297-1996)；</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《污水排入城镇下水道水质标准》(GB/T31962-2015)；</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《流域水污染物综合排放标准  第1部分：南四湖东平湖流域》   （DB37/3416.1-2018）</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《工业企业厂界环境噪声排放标准》(GB12348-2008)；</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lang w:eastAsia="zh-CN"/>
        </w:rPr>
        <w:t>《</w:t>
      </w:r>
      <w:r>
        <w:rPr>
          <w:rFonts w:hint="default" w:ascii="Times New Roman" w:hAnsi="Times New Roman" w:eastAsia="宋体" w:cs="Times New Roman"/>
        </w:rPr>
        <w:t>一般工业固体废物贮存和填埋污染控制标准》（GB18599-2020）；</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《危险废物贮存污染控制标准》(GB18597-2001) 及修改单标准；</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《工作场所有害因素职业接触限值》（GBZ2-2007）；</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《化学品毒性鉴定技术规范》（卫监督发（2005）272号）；</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《建筑设计防火规范》(GB50016-2014)及2018局部修订版；</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《事故状态下水体污染的预防与控制技术要求》（中国石油企业标准Q/SY1190-2013）；</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《水体污染事故风险预防与控制措施运行管理要求》（中国石油企业标准Q/SY1310-2010）；</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《重点监管的危险化学品安全措施和应急处置原则》(国家安全生产监督管理总局)；</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《企业事业单位突发环境事件应急预案评审工作指南（试行）》（2018）；</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《企业突发环境事件风险分级方法》(HJ941-2018)</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《环境应急资源调查指南》（试行）（2019年3月）。</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《突发环境事件应急预案编制导则(试行)》(企业事业单位版)；</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《突发环境事件应急监测技术规范》(HJ589-20</w:t>
      </w:r>
      <w:r>
        <w:rPr>
          <w:rFonts w:hint="default" w:ascii="Times New Roman" w:hAnsi="Times New Roman" w:eastAsia="宋体" w:cs="Times New Roman"/>
          <w:lang w:val="en-US" w:eastAsia="zh-CN"/>
        </w:rPr>
        <w:t>21</w:t>
      </w:r>
      <w:r>
        <w:rPr>
          <w:rFonts w:hint="default" w:ascii="Times New Roman" w:hAnsi="Times New Roman" w:eastAsia="宋体" w:cs="Times New Roman"/>
        </w:rPr>
        <w:t>)；</w:t>
      </w:r>
    </w:p>
    <w:p>
      <w:pPr>
        <w:numPr>
          <w:ilvl w:val="0"/>
          <w:numId w:val="5"/>
        </w:numPr>
        <w:bidi w:val="0"/>
        <w:snapToGrid w:val="0"/>
        <w:ind w:left="0" w:leftChars="0" w:firstLine="331" w:firstLineChars="0"/>
        <w:rPr>
          <w:rFonts w:hint="default" w:ascii="Times New Roman" w:hAnsi="Times New Roman" w:eastAsia="宋体" w:cs="Times New Roman"/>
        </w:rPr>
      </w:pPr>
      <w:r>
        <w:rPr>
          <w:rFonts w:hint="default" w:ascii="Times New Roman" w:hAnsi="Times New Roman" w:eastAsia="宋体" w:cs="Times New Roman"/>
        </w:rPr>
        <w:t>《突发环境事件应急监测技术指南》(DB37/T3599-2019)。</w:t>
      </w:r>
    </w:p>
    <w:p>
      <w:pPr>
        <w:pStyle w:val="5"/>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lang w:val="en-US" w:eastAsia="zh-CN"/>
        </w:rPr>
      </w:pPr>
      <w:bookmarkStart w:id="30" w:name="_Toc20777"/>
      <w:bookmarkStart w:id="31" w:name="_Toc25004"/>
      <w:bookmarkStart w:id="32" w:name="_Toc22809"/>
      <w:r>
        <w:rPr>
          <w:rFonts w:hint="default" w:ascii="Times New Roman" w:hAnsi="Times New Roman" w:cs="Times New Roman"/>
          <w:lang w:val="en-US" w:eastAsia="zh-CN"/>
        </w:rPr>
        <w:t>2.3.4企业相关文件及资料</w:t>
      </w:r>
      <w:bookmarkEnd w:id="30"/>
      <w:bookmarkEnd w:id="31"/>
      <w:bookmarkEnd w:id="32"/>
    </w:p>
    <w:p>
      <w:pPr>
        <w:numPr>
          <w:ilvl w:val="0"/>
          <w:numId w:val="0"/>
        </w:numPr>
        <w:bidi w:val="0"/>
        <w:snapToGrid w:val="0"/>
        <w:rPr>
          <w:rFonts w:hint="default" w:ascii="Times New Roman" w:hAnsi="Times New Roman" w:eastAsia="宋体" w:cs="Times New Roman"/>
          <w:lang w:eastAsia="zh-CN"/>
        </w:rPr>
      </w:pP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1</w:t>
      </w:r>
      <w:r>
        <w:rPr>
          <w:rFonts w:hint="default" w:ascii="Times New Roman" w:hAnsi="Times New Roman" w:eastAsia="宋体" w:cs="Times New Roman"/>
          <w:lang w:eastAsia="zh-CN"/>
        </w:rPr>
        <w:t>）《山东省润泰新材料有限公司氨基模复合材料产业园（一期）项目环境影响报告书》（山东优纳特环境科技有限公司，</w:t>
      </w:r>
      <w:r>
        <w:rPr>
          <w:rFonts w:hint="default" w:ascii="Times New Roman" w:hAnsi="Times New Roman" w:eastAsia="宋体" w:cs="Times New Roman"/>
          <w:lang w:val="en-US" w:eastAsia="zh-CN"/>
        </w:rPr>
        <w:t>2020</w:t>
      </w:r>
      <w:r>
        <w:rPr>
          <w:rFonts w:hint="default" w:ascii="Times New Roman" w:hAnsi="Times New Roman" w:eastAsia="宋体" w:cs="Times New Roman"/>
          <w:lang w:eastAsia="zh-CN"/>
        </w:rPr>
        <w:t>年</w:t>
      </w:r>
      <w:r>
        <w:rPr>
          <w:rFonts w:hint="default" w:ascii="Times New Roman" w:hAnsi="Times New Roman" w:eastAsia="宋体" w:cs="Times New Roman"/>
          <w:lang w:val="en-US" w:eastAsia="zh-CN"/>
        </w:rPr>
        <w:t>10</w:t>
      </w:r>
      <w:r>
        <w:rPr>
          <w:rFonts w:hint="default" w:ascii="Times New Roman" w:hAnsi="Times New Roman" w:eastAsia="宋体" w:cs="Times New Roman"/>
          <w:lang w:eastAsia="zh-CN"/>
        </w:rPr>
        <w:t>月）；</w:t>
      </w:r>
    </w:p>
    <w:p>
      <w:pPr>
        <w:numPr>
          <w:ilvl w:val="0"/>
          <w:numId w:val="0"/>
        </w:numPr>
        <w:bidi w:val="0"/>
        <w:snapToGrid w:val="0"/>
        <w:rPr>
          <w:rFonts w:hint="default" w:ascii="Times New Roman" w:hAnsi="Times New Roman" w:eastAsia="宋体" w:cs="Times New Roman"/>
          <w:lang w:eastAsia="zh-CN"/>
        </w:rPr>
      </w:pP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2</w:t>
      </w:r>
      <w:r>
        <w:rPr>
          <w:rFonts w:hint="default" w:ascii="Times New Roman" w:hAnsi="Times New Roman" w:eastAsia="宋体" w:cs="Times New Roman"/>
          <w:lang w:eastAsia="zh-CN"/>
        </w:rPr>
        <w:t>）《山东省润泰新材料有限公司氨基模复合材料产业园（一期）项目环境影响报告书》（</w:t>
      </w:r>
      <w:r>
        <w:rPr>
          <w:rFonts w:hint="default" w:ascii="Times New Roman" w:hAnsi="Times New Roman" w:cs="Times New Roman"/>
          <w:color w:val="auto"/>
          <w:lang w:val="en-US" w:eastAsia="zh-CN"/>
        </w:rPr>
        <w:t>2021年1月26日，枣环许可字[2021]9号）</w:t>
      </w:r>
      <w:r>
        <w:rPr>
          <w:rFonts w:hint="default" w:ascii="Times New Roman" w:hAnsi="Times New Roman" w:eastAsia="宋体" w:cs="Times New Roman"/>
          <w:lang w:eastAsia="zh-CN"/>
        </w:rPr>
        <w:t>；</w:t>
      </w:r>
    </w:p>
    <w:p>
      <w:pPr>
        <w:numPr>
          <w:ilvl w:val="0"/>
          <w:numId w:val="0"/>
        </w:numPr>
        <w:bidi w:val="0"/>
        <w:snapToGrid w:val="0"/>
        <w:rPr>
          <w:rFonts w:hint="default" w:ascii="Times New Roman" w:hAnsi="Times New Roman" w:eastAsia="宋体" w:cs="Times New Roman"/>
          <w:lang w:eastAsia="zh-CN"/>
        </w:rPr>
      </w:pP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3</w:t>
      </w:r>
      <w:r>
        <w:rPr>
          <w:rFonts w:hint="default" w:ascii="Times New Roman" w:hAnsi="Times New Roman" w:eastAsia="宋体" w:cs="Times New Roman"/>
          <w:lang w:eastAsia="zh-CN"/>
        </w:rPr>
        <w:t>）山东省润泰新材料有限公司其他相关资料。</w:t>
      </w:r>
    </w:p>
    <w:p>
      <w:pPr>
        <w:pStyle w:val="4"/>
        <w:bidi w:val="0"/>
        <w:rPr>
          <w:rFonts w:hint="default" w:ascii="Times New Roman" w:hAnsi="Times New Roman" w:cs="Times New Roman"/>
          <w:lang w:val="en-US" w:eastAsia="zh-CN"/>
        </w:rPr>
      </w:pPr>
      <w:bookmarkStart w:id="33" w:name="_Toc444522060"/>
      <w:bookmarkStart w:id="34" w:name="_Toc99"/>
      <w:bookmarkStart w:id="35" w:name="_Toc3301"/>
      <w:bookmarkStart w:id="36" w:name="_Toc8602"/>
      <w:bookmarkStart w:id="37" w:name="_Toc26291"/>
      <w:r>
        <w:rPr>
          <w:rFonts w:hint="default" w:ascii="Times New Roman" w:hAnsi="Times New Roman" w:cs="Times New Roman"/>
        </w:rPr>
        <w:t xml:space="preserve">2.4 </w:t>
      </w:r>
      <w:bookmarkEnd w:id="33"/>
      <w:bookmarkEnd w:id="34"/>
      <w:r>
        <w:rPr>
          <w:rFonts w:hint="default" w:ascii="Times New Roman" w:hAnsi="Times New Roman" w:cs="Times New Roman"/>
          <w:lang w:val="en-US" w:eastAsia="zh-CN"/>
        </w:rPr>
        <w:t>评估重点</w:t>
      </w:r>
      <w:bookmarkEnd w:id="35"/>
      <w:bookmarkEnd w:id="36"/>
      <w:bookmarkEnd w:id="37"/>
    </w:p>
    <w:p>
      <w:p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(1)环境影响评价文件执行情况检查；</w:t>
      </w:r>
    </w:p>
    <w:p>
      <w:p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(2)建设项目厂址环境敏感性排查；</w:t>
      </w:r>
    </w:p>
    <w:p>
      <w:pPr>
        <w:bidi w:val="0"/>
        <w:snapToGrid w:val="0"/>
        <w:ind w:firstLine="1044"/>
        <w:rPr>
          <w:rFonts w:hint="default" w:ascii="Times New Roman" w:hAnsi="Times New Roman" w:eastAsia="宋体" w:cs="Times New Roman"/>
        </w:rPr>
      </w:pPr>
      <w:r>
        <w:rPr>
          <w:rFonts w:hint="default" w:ascii="Times New Roman" w:hAnsi="Times New Roman" w:eastAsia="宋体" w:cs="Times New Roman"/>
        </w:rPr>
        <w:t>(3)建设项目所用原材料及其产品危险性、毒性排查；</w:t>
      </w:r>
    </w:p>
    <w:p>
      <w:pPr>
        <w:bidi w:val="0"/>
        <w:snapToGrid w:val="0"/>
        <w:ind w:firstLine="1044"/>
        <w:rPr>
          <w:rFonts w:hint="default" w:ascii="Times New Roman" w:hAnsi="Times New Roman" w:cs="Times New Roman"/>
        </w:rPr>
        <w:sectPr>
          <w:pgSz w:w="11906" w:h="16838"/>
          <w:pgMar w:top="1417" w:right="1418" w:bottom="1247" w:left="1587" w:header="907" w:footer="680" w:gutter="283"/>
          <w:pgBorders>
            <w:top w:val="none" w:sz="0" w:space="0"/>
            <w:left w:val="none" w:sz="0" w:space="0"/>
            <w:bottom w:val="none" w:sz="0" w:space="0"/>
            <w:right w:val="none" w:sz="0" w:space="0"/>
          </w:pgBorders>
          <w:cols w:space="720" w:num="1"/>
          <w:docGrid w:type="lines" w:linePitch="566" w:charSpace="0"/>
        </w:sectPr>
      </w:pPr>
      <w:r>
        <w:rPr>
          <w:rFonts w:hint="default" w:ascii="Times New Roman" w:hAnsi="Times New Roman" w:eastAsia="宋体" w:cs="Times New Roman"/>
        </w:rPr>
        <w:t>(4)建设项目环境事故、危险物质进入环境途径等危险源排查。</w:t>
      </w:r>
    </w:p>
    <w:p>
      <w:pPr>
        <w:pStyle w:val="3"/>
        <w:bidi w:val="0"/>
        <w:rPr>
          <w:rFonts w:hint="default" w:ascii="Times New Roman" w:hAnsi="Times New Roman" w:cs="Times New Roman"/>
          <w:color w:val="auto"/>
        </w:rPr>
      </w:pPr>
      <w:bookmarkStart w:id="38" w:name="_Toc26790"/>
      <w:bookmarkStart w:id="39" w:name="_Toc20017"/>
      <w:bookmarkStart w:id="40" w:name="_Toc444522061"/>
      <w:r>
        <w:rPr>
          <w:rFonts w:hint="default" w:ascii="Times New Roman" w:hAnsi="Times New Roman" w:cs="Times New Roman"/>
          <w:color w:val="auto"/>
        </w:rPr>
        <w:t>3 资料准备与环境风险识别</w:t>
      </w:r>
      <w:bookmarkEnd w:id="38"/>
      <w:bookmarkEnd w:id="39"/>
      <w:bookmarkEnd w:id="40"/>
    </w:p>
    <w:p>
      <w:pPr>
        <w:pStyle w:val="4"/>
        <w:bidi w:val="0"/>
        <w:rPr>
          <w:rFonts w:hint="default" w:ascii="Times New Roman" w:hAnsi="Times New Roman" w:cs="Times New Roman"/>
          <w:color w:val="auto"/>
        </w:rPr>
      </w:pPr>
      <w:bookmarkStart w:id="41" w:name="_Toc444522062"/>
      <w:bookmarkStart w:id="42" w:name="_Toc17076"/>
      <w:bookmarkStart w:id="43" w:name="_Toc26967"/>
      <w:r>
        <w:rPr>
          <w:rFonts w:hint="default" w:ascii="Times New Roman" w:hAnsi="Times New Roman" w:cs="Times New Roman"/>
          <w:color w:val="auto"/>
        </w:rPr>
        <w:t>3.1 企业基本信息</w:t>
      </w:r>
      <w:bookmarkEnd w:id="41"/>
      <w:bookmarkEnd w:id="42"/>
      <w:bookmarkEnd w:id="43"/>
    </w:p>
    <w:p>
      <w:pPr>
        <w:pStyle w:val="5"/>
        <w:bidi w:val="0"/>
        <w:rPr>
          <w:rFonts w:hint="default" w:ascii="Times New Roman" w:hAnsi="Times New Roman" w:cs="Times New Roman"/>
          <w:color w:val="auto"/>
        </w:rPr>
      </w:pPr>
      <w:r>
        <w:rPr>
          <w:rFonts w:hint="default" w:ascii="Times New Roman" w:hAnsi="Times New Roman" w:cs="Times New Roman"/>
          <w:color w:val="auto"/>
        </w:rPr>
        <w:t>3.1.1 公司概况</w:t>
      </w:r>
    </w:p>
    <w:p>
      <w:pPr>
        <w:bidi w:val="0"/>
        <w:rPr>
          <w:rFonts w:hint="default" w:ascii="Times New Roman" w:hAnsi="Times New Roman" w:cs="Times New Roman"/>
          <w:sz w:val="24"/>
          <w:szCs w:val="24"/>
          <w:lang w:val="en-US" w:eastAsia="zh-CN"/>
        </w:rPr>
      </w:pPr>
      <w:bookmarkStart w:id="44" w:name="_Hlk510019763"/>
      <w:r>
        <w:rPr>
          <w:rFonts w:hint="default" w:ascii="Times New Roman" w:hAnsi="Times New Roman" w:cs="Times New Roman"/>
          <w:sz w:val="24"/>
          <w:szCs w:val="24"/>
        </w:rPr>
        <w:t>甘肃泰尔精细化工有限公司和临沂市泰尔化工科技有限公司联合组建成立了山东省润泰新材料有限公司，注册地址位于山东省枣庄市峄城区峨山镇化工产业园华山路6号，专业从事化工新材料生产和研发。同时</w:t>
      </w:r>
      <w:r>
        <w:rPr>
          <w:rFonts w:hint="default" w:ascii="Times New Roman" w:hAnsi="Times New Roman" w:cs="Times New Roman"/>
          <w:color w:val="000000"/>
          <w:sz w:val="24"/>
          <w:szCs w:val="24"/>
        </w:rPr>
        <w:t>为了集团公司的可持续发展，</w:t>
      </w:r>
      <w:r>
        <w:rPr>
          <w:rFonts w:hint="default" w:ascii="Times New Roman" w:hAnsi="Times New Roman" w:cs="Times New Roman"/>
          <w:sz w:val="24"/>
          <w:szCs w:val="24"/>
        </w:rPr>
        <w:t>山东省润泰新材料有限公司拟于峄城化工产业园内投资建设氨基模复合材料产业园项目，该项目计划总投资206000万元，以甲醇为原料，生产甲醛、罩光粉、树脂、冰树脂、氨基膜复合材料、甲缩醛、混凝土外加剂、水性漆助剂及电解银催化剂，各产品总产量达92.1万吨。</w:t>
      </w:r>
    </w:p>
    <w:p>
      <w:pPr>
        <w:bidi w:val="0"/>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山东省润泰新材料有限公司成立于20</w:t>
      </w:r>
      <w:r>
        <w:rPr>
          <w:rFonts w:hint="default" w:ascii="Times New Roman" w:hAnsi="Times New Roman" w:cs="Times New Roman"/>
          <w:color w:val="auto"/>
          <w:lang w:val="en-US" w:eastAsia="zh-CN"/>
        </w:rPr>
        <w:t>20</w:t>
      </w:r>
      <w:r>
        <w:rPr>
          <w:rFonts w:hint="default" w:ascii="Times New Roman" w:hAnsi="Times New Roman" w:cs="Times New Roman"/>
          <w:color w:val="auto"/>
          <w:lang w:eastAsia="zh-CN"/>
        </w:rPr>
        <w:t>年，</w:t>
      </w:r>
      <w:r>
        <w:rPr>
          <w:rFonts w:hint="default" w:ascii="Times New Roman" w:hAnsi="Times New Roman" w:cs="Times New Roman"/>
          <w:color w:val="auto"/>
        </w:rPr>
        <w:t>位于</w:t>
      </w:r>
      <w:r>
        <w:rPr>
          <w:rFonts w:hint="default" w:ascii="Times New Roman" w:hAnsi="Times New Roman" w:cs="Times New Roman"/>
          <w:color w:val="auto"/>
          <w:lang w:eastAsia="zh-CN"/>
        </w:rPr>
        <w:t>枣庄市峄城区峨山镇峄城化工产业园</w:t>
      </w:r>
      <w:r>
        <w:rPr>
          <w:rFonts w:hint="default" w:ascii="Times New Roman" w:hAnsi="Times New Roman" w:cs="Times New Roman"/>
          <w:color w:val="auto"/>
          <w:vertAlign w:val="baseline"/>
          <w:lang w:val="en-US" w:eastAsia="zh-CN"/>
        </w:rPr>
        <w:t>，</w:t>
      </w:r>
      <w:r>
        <w:rPr>
          <w:rFonts w:hint="default" w:ascii="Times New Roman" w:hAnsi="Times New Roman" w:cs="Times New Roman"/>
          <w:sz w:val="24"/>
          <w:szCs w:val="24"/>
        </w:rPr>
        <w:t>氨基模复合材料产业园项目计划分期进行建设，其中一期计划投资64500万元，建设8万吨/年氨基模复合材料（6万吨/年氨基模塑料、2万吨/年氨基模颗粒）、20000吨/年罩光粉、11000吨/年冰树脂、40万吨/年甲醛</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主要建设内容生产装置、生产车间、仓库及配套办公区、公用辅助工程、环保设施等</w:t>
      </w:r>
      <w:r>
        <w:rPr>
          <w:rFonts w:hint="default" w:ascii="Times New Roman" w:hAnsi="Times New Roman" w:cs="Times New Roman"/>
          <w:sz w:val="24"/>
          <w:szCs w:val="24"/>
          <w:lang w:eastAsia="zh-CN"/>
        </w:rPr>
        <w:t>。</w:t>
      </w:r>
    </w:p>
    <w:bookmarkEnd w:id="44"/>
    <w:p>
      <w:pPr>
        <w:bidi w:val="0"/>
        <w:rPr>
          <w:rFonts w:hint="default" w:ascii="Times New Roman" w:hAnsi="Times New Roman" w:cs="Times New Roman"/>
          <w:color w:val="auto"/>
        </w:rPr>
      </w:pPr>
      <w:r>
        <w:rPr>
          <w:rFonts w:hint="default" w:ascii="Times New Roman" w:hAnsi="Times New Roman" w:cs="Times New Roman"/>
          <w:lang w:val="en-US" w:eastAsia="zh-CN"/>
        </w:rPr>
        <w:t>2020年10月，公司</w:t>
      </w:r>
      <w:r>
        <w:rPr>
          <w:rFonts w:hint="default" w:ascii="Times New Roman" w:hAnsi="Times New Roman" w:cs="Times New Roman"/>
          <w:color w:val="000000"/>
          <w:sz w:val="24"/>
          <w:szCs w:val="24"/>
        </w:rPr>
        <w:t>委托山东优纳特环境科技有限公司</w:t>
      </w:r>
      <w:r>
        <w:rPr>
          <w:rFonts w:hint="default" w:ascii="Times New Roman" w:hAnsi="Times New Roman" w:cs="Times New Roman"/>
          <w:lang w:val="en-US" w:eastAsia="zh-CN"/>
        </w:rPr>
        <w:t>编制</w:t>
      </w:r>
      <w:r>
        <w:rPr>
          <w:rFonts w:hint="default" w:ascii="Times New Roman" w:hAnsi="Times New Roman" w:cs="Times New Roman"/>
          <w:lang w:eastAsia="zh-CN"/>
        </w:rPr>
        <w:t>《山东省润泰新材料有限公司氨基模复合材料产业园（一期</w:t>
      </w:r>
      <w:r>
        <w:rPr>
          <w:rFonts w:hint="default" w:ascii="Times New Roman" w:hAnsi="Times New Roman" w:cs="Times New Roman"/>
          <w:color w:val="auto"/>
          <w:lang w:eastAsia="zh-CN"/>
        </w:rPr>
        <w:t>）项目环境影响报告书》；</w:t>
      </w:r>
      <w:r>
        <w:rPr>
          <w:rFonts w:hint="default" w:ascii="Times New Roman" w:hAnsi="Times New Roman" w:cs="Times New Roman"/>
          <w:color w:val="auto"/>
          <w:lang w:val="en-US" w:eastAsia="zh-CN"/>
        </w:rPr>
        <w:t>2021年1月26日，枣庄市生态环境局以枣环许可字[2021]9号予以批复。2021年2月，项目开工建设</w:t>
      </w:r>
      <w:r>
        <w:rPr>
          <w:rFonts w:hint="eastAsia" w:cs="Times New Roman"/>
          <w:color w:val="auto"/>
          <w:lang w:val="en-US" w:eastAsia="zh-CN"/>
        </w:rPr>
        <w:t>，</w:t>
      </w:r>
      <w:r>
        <w:rPr>
          <w:rFonts w:hint="default" w:ascii="Times New Roman" w:hAnsi="Times New Roman" w:cs="Times New Roman"/>
          <w:color w:val="auto"/>
          <w:lang w:val="en-US" w:eastAsia="zh-CN"/>
        </w:rPr>
        <w:t>至2022年7月，完成一期项目</w:t>
      </w:r>
      <w:r>
        <w:rPr>
          <w:rFonts w:hint="eastAsia" w:cs="Times New Roman"/>
          <w:color w:val="auto"/>
          <w:lang w:val="en-US" w:eastAsia="zh-CN"/>
        </w:rPr>
        <w:t>中的</w:t>
      </w:r>
      <w:r>
        <w:rPr>
          <w:rFonts w:hint="default" w:ascii="Times New Roman" w:hAnsi="Times New Roman" w:cs="Times New Roman"/>
          <w:color w:val="auto"/>
          <w:sz w:val="24"/>
          <w:szCs w:val="24"/>
        </w:rPr>
        <w:t>40万吨/年甲醛</w:t>
      </w:r>
      <w:r>
        <w:rPr>
          <w:rFonts w:hint="eastAsia" w:cs="Times New Roman"/>
          <w:color w:val="auto"/>
          <w:lang w:val="en-US" w:eastAsia="zh-CN"/>
        </w:rPr>
        <w:t>项目的建设</w:t>
      </w:r>
      <w:r>
        <w:rPr>
          <w:rFonts w:hint="default" w:ascii="Times New Roman" w:hAnsi="Times New Roman" w:cs="Times New Roman"/>
          <w:color w:val="auto"/>
          <w:lang w:val="en-US" w:eastAsia="zh-CN"/>
        </w:rPr>
        <w:t>；一期</w:t>
      </w:r>
      <w:r>
        <w:rPr>
          <w:rFonts w:hint="default" w:ascii="Times New Roman" w:hAnsi="Times New Roman" w:cs="Times New Roman"/>
          <w:color w:val="auto"/>
          <w:sz w:val="24"/>
          <w:szCs w:val="24"/>
          <w:lang w:val="en-US" w:eastAsia="zh-CN"/>
        </w:rPr>
        <w:t>项目</w:t>
      </w:r>
      <w:r>
        <w:rPr>
          <w:rFonts w:hint="default" w:ascii="Times New Roman" w:hAnsi="Times New Roman" w:cs="Times New Roman"/>
          <w:color w:val="auto"/>
          <w:lang w:val="en-US" w:eastAsia="zh-CN"/>
        </w:rPr>
        <w:t>（</w:t>
      </w:r>
      <w:r>
        <w:rPr>
          <w:rFonts w:hint="default" w:ascii="Times New Roman" w:hAnsi="Times New Roman" w:cs="Times New Roman"/>
          <w:color w:val="auto"/>
          <w:sz w:val="24"/>
          <w:szCs w:val="24"/>
        </w:rPr>
        <w:t>40万吨/年甲醛</w:t>
      </w:r>
      <w:r>
        <w:rPr>
          <w:rFonts w:hint="default" w:ascii="Times New Roman" w:hAnsi="Times New Roman" w:cs="Times New Roman"/>
          <w:color w:val="auto"/>
          <w:lang w:val="en-US" w:eastAsia="zh-CN"/>
        </w:rPr>
        <w:t>）生产规模为：</w:t>
      </w:r>
      <w:r>
        <w:rPr>
          <w:rFonts w:hint="default" w:ascii="Times New Roman" w:hAnsi="Times New Roman" w:cs="Times New Roman"/>
          <w:color w:val="auto"/>
          <w:sz w:val="24"/>
          <w:szCs w:val="24"/>
        </w:rPr>
        <w:t>40万吨/年甲醛</w:t>
      </w:r>
      <w:r>
        <w:rPr>
          <w:rFonts w:hint="default" w:ascii="Times New Roman" w:hAnsi="Times New Roman" w:cs="Times New Roman"/>
          <w:color w:val="auto"/>
          <w:lang w:val="en-US" w:eastAsia="zh-CN"/>
        </w:rPr>
        <w:t>。一期40万吨/年甲醛工程</w:t>
      </w:r>
      <w:r>
        <w:rPr>
          <w:rFonts w:hint="default" w:ascii="Times New Roman" w:hAnsi="Times New Roman" w:cs="Times New Roman"/>
          <w:color w:val="auto"/>
        </w:rPr>
        <w:t>劳动定</w:t>
      </w:r>
      <w:r>
        <w:rPr>
          <w:rFonts w:hint="default" w:ascii="Times New Roman" w:hAnsi="Times New Roman" w:cs="Times New Roman"/>
          <w:color w:val="auto"/>
          <w:highlight w:val="none"/>
        </w:rPr>
        <w:t>员</w:t>
      </w:r>
      <w:r>
        <w:rPr>
          <w:rFonts w:hint="eastAsia" w:cs="Times New Roman"/>
          <w:color w:val="auto"/>
          <w:highlight w:val="none"/>
          <w:lang w:val="en-US" w:eastAsia="zh-CN"/>
        </w:rPr>
        <w:t>35</w:t>
      </w:r>
      <w:r>
        <w:rPr>
          <w:rFonts w:hint="default" w:ascii="Times New Roman" w:hAnsi="Times New Roman" w:cs="Times New Roman"/>
          <w:color w:val="auto"/>
          <w:highlight w:val="none"/>
        </w:rPr>
        <w:t>人，</w:t>
      </w:r>
      <w:r>
        <w:rPr>
          <w:rFonts w:hint="default" w:ascii="Times New Roman" w:hAnsi="Times New Roman" w:cs="Times New Roman"/>
          <w:color w:val="auto"/>
        </w:rPr>
        <w:t>年生产8000h。</w:t>
      </w:r>
    </w:p>
    <w:p>
      <w:pPr>
        <w:bidi w:val="0"/>
        <w:rPr>
          <w:rFonts w:hint="default" w:ascii="Times New Roman" w:hAnsi="Times New Roman" w:cs="Times New Roman"/>
          <w:color w:val="auto"/>
        </w:rPr>
      </w:pPr>
      <w:r>
        <w:rPr>
          <w:rFonts w:hint="default" w:ascii="Times New Roman" w:hAnsi="Times New Roman" w:cs="Times New Roman"/>
          <w:color w:val="auto"/>
          <w:lang w:eastAsia="zh-CN"/>
        </w:rPr>
        <w:t>山东省润泰新材料有限公司</w:t>
      </w:r>
      <w:r>
        <w:rPr>
          <w:rFonts w:hint="default" w:ascii="Times New Roman" w:hAnsi="Times New Roman" w:cs="Times New Roman"/>
          <w:color w:val="auto"/>
        </w:rPr>
        <w:t>基本情况汇总见表3.1-1。</w:t>
      </w:r>
    </w:p>
    <w:p>
      <w:pPr>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表3.1-1 山东省润泰新材料有限公司基本情况汇总表</w:t>
      </w:r>
    </w:p>
    <w:tbl>
      <w:tblPr>
        <w:tblStyle w:val="29"/>
        <w:tblW w:w="907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470"/>
        <w:gridCol w:w="1921"/>
        <w:gridCol w:w="1936"/>
        <w:gridCol w:w="374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0"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单位名称</w:t>
            </w:r>
          </w:p>
        </w:tc>
        <w:tc>
          <w:tcPr>
            <w:tcW w:w="7602" w:type="dxa"/>
            <w:gridSpan w:val="3"/>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山东省润泰新材料有限公司</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8" w:hRule="atLeast"/>
          <w:jc w:val="center"/>
        </w:trPr>
        <w:tc>
          <w:tcPr>
            <w:tcW w:w="1470"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单位地址</w:t>
            </w:r>
          </w:p>
        </w:tc>
        <w:tc>
          <w:tcPr>
            <w:tcW w:w="1921"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枣庄市峄城区峨山镇峄城化工产业园</w:t>
            </w:r>
          </w:p>
        </w:tc>
        <w:tc>
          <w:tcPr>
            <w:tcW w:w="1936"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所在市</w:t>
            </w:r>
          </w:p>
        </w:tc>
        <w:tc>
          <w:tcPr>
            <w:tcW w:w="3745"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lang w:eastAsia="zh-CN"/>
              </w:rPr>
              <w:t>枣庄</w:t>
            </w:r>
            <w:r>
              <w:rPr>
                <w:rFonts w:hint="default" w:ascii="Times New Roman" w:hAnsi="Times New Roman" w:cs="Times New Roman"/>
                <w:color w:val="auto"/>
              </w:rPr>
              <w:t>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0"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法人代表</w:t>
            </w:r>
          </w:p>
        </w:tc>
        <w:tc>
          <w:tcPr>
            <w:tcW w:w="1921"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尤佩连</w:t>
            </w:r>
          </w:p>
        </w:tc>
        <w:tc>
          <w:tcPr>
            <w:tcW w:w="1936"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eastAsia="zh-CN"/>
              </w:rPr>
            </w:pPr>
            <w:r>
              <w:rPr>
                <w:rFonts w:hint="default" w:ascii="Times New Roman" w:hAnsi="Times New Roman" w:cs="Times New Roman"/>
                <w:color w:val="auto"/>
              </w:rPr>
              <w:t>所在街道</w:t>
            </w:r>
            <w:r>
              <w:rPr>
                <w:rFonts w:hint="default" w:ascii="Times New Roman" w:hAnsi="Times New Roman" w:cs="Times New Roman"/>
                <w:color w:val="auto"/>
                <w:lang w:eastAsia="zh-CN"/>
              </w:rPr>
              <w:t>(</w:t>
            </w:r>
            <w:r>
              <w:rPr>
                <w:rFonts w:hint="default" w:ascii="Times New Roman" w:hAnsi="Times New Roman" w:cs="Times New Roman"/>
                <w:color w:val="auto"/>
              </w:rPr>
              <w:t>镇</w:t>
            </w:r>
            <w:r>
              <w:rPr>
                <w:rFonts w:hint="default" w:ascii="Times New Roman" w:hAnsi="Times New Roman" w:cs="Times New Roman"/>
                <w:color w:val="auto"/>
                <w:lang w:eastAsia="zh-CN"/>
              </w:rPr>
              <w:t>)</w:t>
            </w:r>
          </w:p>
        </w:tc>
        <w:tc>
          <w:tcPr>
            <w:tcW w:w="3745"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峄城化工产业园</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0"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联系人</w:t>
            </w:r>
          </w:p>
        </w:tc>
        <w:tc>
          <w:tcPr>
            <w:tcW w:w="1921"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sz w:val="21"/>
                <w:lang w:val="en-US" w:eastAsia="zh-CN"/>
              </w:rPr>
              <w:t>曾凡玉</w:t>
            </w:r>
          </w:p>
        </w:tc>
        <w:tc>
          <w:tcPr>
            <w:tcW w:w="1936"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邮政编码</w:t>
            </w:r>
          </w:p>
        </w:tc>
        <w:tc>
          <w:tcPr>
            <w:tcW w:w="3745"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277300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0"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职工人数</w:t>
            </w:r>
          </w:p>
        </w:tc>
        <w:tc>
          <w:tcPr>
            <w:tcW w:w="1921"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val="en-US" w:eastAsia="zh-CN"/>
              </w:rPr>
            </w:pPr>
            <w:r>
              <w:rPr>
                <w:rFonts w:hint="eastAsia" w:cs="Times New Roman"/>
                <w:color w:val="auto"/>
                <w:highlight w:val="none"/>
                <w:lang w:val="en-US" w:eastAsia="zh-CN"/>
              </w:rPr>
              <w:t>35</w:t>
            </w:r>
          </w:p>
        </w:tc>
        <w:tc>
          <w:tcPr>
            <w:tcW w:w="1936"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占地面积</w:t>
            </w:r>
          </w:p>
        </w:tc>
        <w:tc>
          <w:tcPr>
            <w:tcW w:w="3745"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lang w:val="en-US" w:eastAsia="zh-CN"/>
              </w:rPr>
              <w:t>11400</w:t>
            </w:r>
            <w:r>
              <w:rPr>
                <w:rFonts w:hint="default" w:ascii="Times New Roman" w:hAnsi="Times New Roman" w:cs="Times New Roman"/>
              </w:rPr>
              <w:t>0</w:t>
            </w:r>
            <w:r>
              <w:rPr>
                <w:rFonts w:hint="default" w:ascii="Times New Roman" w:hAnsi="Times New Roman" w:cs="Times New Roman"/>
                <w:lang w:val="en-US" w:eastAsia="zh-CN"/>
              </w:rPr>
              <w:t xml:space="preserve"> </w:t>
            </w:r>
            <w:r>
              <w:rPr>
                <w:rFonts w:hint="default" w:ascii="Times New Roman" w:hAnsi="Times New Roman" w:cs="Times New Roman"/>
              </w:rPr>
              <w:t>m</w:t>
            </w:r>
            <w:r>
              <w:rPr>
                <w:rFonts w:hint="default" w:ascii="Times New Roman" w:hAnsi="Times New Roman" w:cs="Times New Roman"/>
                <w:vertAlign w:val="superscript"/>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0"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建成日期</w:t>
            </w:r>
          </w:p>
        </w:tc>
        <w:tc>
          <w:tcPr>
            <w:tcW w:w="1921"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lang w:eastAsia="zh-CN"/>
              </w:rPr>
            </w:pPr>
            <w:r>
              <w:rPr>
                <w:rFonts w:hint="default" w:ascii="Times New Roman" w:hAnsi="Times New Roman" w:cs="Times New Roman"/>
              </w:rPr>
              <w:t>20</w:t>
            </w:r>
            <w:r>
              <w:rPr>
                <w:rFonts w:hint="default" w:ascii="Times New Roman" w:hAnsi="Times New Roman" w:cs="Times New Roman"/>
                <w:lang w:val="en-US" w:eastAsia="zh-CN"/>
              </w:rPr>
              <w:t>22-07</w:t>
            </w:r>
          </w:p>
        </w:tc>
        <w:tc>
          <w:tcPr>
            <w:tcW w:w="1936"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所属行业</w:t>
            </w:r>
          </w:p>
        </w:tc>
        <w:tc>
          <w:tcPr>
            <w:tcW w:w="3745" w:type="dxa"/>
            <w:tcBorders>
              <w:tl2br w:val="nil"/>
              <w:tr2bl w:val="nil"/>
            </w:tcBorders>
            <w:noWrap w:val="0"/>
            <w:tcMar>
              <w:top w:w="57" w:type="dxa"/>
              <w:left w:w="85" w:type="dxa"/>
              <w:bottom w:w="57" w:type="dxa"/>
              <w:right w:w="85" w:type="dxa"/>
            </w:tcMar>
            <w:vAlign w:val="center"/>
          </w:tcPr>
          <w:p>
            <w:pPr>
              <w:pStyle w:val="42"/>
              <w:numPr>
                <w:ilvl w:val="0"/>
                <w:numId w:val="6"/>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化学原料和化学制品制造业 </w:t>
            </w:r>
          </w:p>
          <w:p>
            <w:pPr>
              <w:pStyle w:val="42"/>
              <w:numPr>
                <w:ilvl w:val="0"/>
                <w:numId w:val="0"/>
              </w:num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36 基本化学原料制造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0"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中心经度坐标</w:t>
            </w:r>
          </w:p>
        </w:tc>
        <w:tc>
          <w:tcPr>
            <w:tcW w:w="1921"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117.790524°</w:t>
            </w:r>
          </w:p>
        </w:tc>
        <w:tc>
          <w:tcPr>
            <w:tcW w:w="1936"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中心纬度坐标</w:t>
            </w:r>
          </w:p>
        </w:tc>
        <w:tc>
          <w:tcPr>
            <w:tcW w:w="3745" w:type="dxa"/>
            <w:tcBorders>
              <w:tl2br w:val="nil"/>
              <w:tr2bl w:val="nil"/>
            </w:tcBorders>
            <w:noWrap w:val="0"/>
            <w:tcMar>
              <w:top w:w="57" w:type="dxa"/>
              <w:left w:w="85" w:type="dxa"/>
              <w:bottom w:w="57" w:type="dxa"/>
              <w:right w:w="85" w:type="dxa"/>
            </w:tcMar>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34.767080°</w:t>
            </w:r>
          </w:p>
        </w:tc>
      </w:tr>
    </w:tbl>
    <w:p>
      <w:pPr>
        <w:bidi w:val="0"/>
        <w:rPr>
          <w:rFonts w:hint="default" w:ascii="Times New Roman" w:hAnsi="Times New Roman" w:cs="Times New Roman"/>
          <w:color w:val="auto"/>
        </w:rPr>
        <w:sectPr>
          <w:pgSz w:w="11906" w:h="16838"/>
          <w:pgMar w:top="1417" w:right="1417" w:bottom="1417" w:left="1417" w:header="850" w:footer="680" w:gutter="0"/>
          <w:pgBorders>
            <w:top w:val="none" w:sz="0" w:space="0"/>
            <w:left w:val="none" w:sz="0" w:space="0"/>
            <w:bottom w:val="none" w:sz="0" w:space="0"/>
            <w:right w:val="none" w:sz="0" w:space="0"/>
          </w:pgBorders>
          <w:pgNumType w:fmt="decimal"/>
          <w:cols w:space="720" w:num="1"/>
          <w:rtlGutter w:val="0"/>
          <w:docGrid w:linePitch="312" w:charSpace="0"/>
        </w:sectPr>
      </w:pPr>
    </w:p>
    <w:p>
      <w:pPr>
        <w:widowControl w:val="0"/>
        <w:spacing w:before="156" w:beforeLines="50" w:after="0" w:line="360" w:lineRule="auto"/>
        <w:jc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sz w:val="24"/>
          <w:szCs w:val="24"/>
        </w:rPr>
        <w:t>表3.1-2   项目环评及环保验收情况一览表</w:t>
      </w:r>
    </w:p>
    <w:tbl>
      <w:tblPr>
        <w:tblStyle w:val="29"/>
        <w:tblW w:w="931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4"/>
        <w:gridCol w:w="3992"/>
        <w:gridCol w:w="1492"/>
        <w:gridCol w:w="32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534" w:type="dxa"/>
            <w:noWrap w:val="0"/>
            <w:tcMar>
              <w:top w:w="0" w:type="dxa"/>
              <w:left w:w="51" w:type="dxa"/>
              <w:bottom w:w="0" w:type="dxa"/>
              <w:right w:w="51" w:type="dxa"/>
            </w:tcMar>
            <w:vAlign w:val="center"/>
          </w:tcPr>
          <w:p>
            <w:pPr>
              <w:pStyle w:val="42"/>
              <w:bidi w:val="0"/>
              <w:rPr>
                <w:rFonts w:hint="default" w:ascii="Times New Roman" w:hAnsi="Times New Roman" w:eastAsia="宋体" w:cs="Times New Roman"/>
                <w:color w:val="auto"/>
              </w:rPr>
            </w:pPr>
            <w:r>
              <w:rPr>
                <w:rFonts w:hint="default" w:ascii="Times New Roman" w:hAnsi="Times New Roman" w:eastAsia="宋体" w:cs="Times New Roman"/>
                <w:color w:val="auto"/>
              </w:rPr>
              <w:t>序号</w:t>
            </w:r>
          </w:p>
        </w:tc>
        <w:tc>
          <w:tcPr>
            <w:tcW w:w="3992" w:type="dxa"/>
            <w:noWrap w:val="0"/>
            <w:tcMar>
              <w:top w:w="0" w:type="dxa"/>
              <w:left w:w="51" w:type="dxa"/>
              <w:bottom w:w="0" w:type="dxa"/>
              <w:right w:w="51" w:type="dxa"/>
            </w:tcMar>
            <w:vAlign w:val="center"/>
          </w:tcPr>
          <w:p>
            <w:pPr>
              <w:pStyle w:val="42"/>
              <w:bidi w:val="0"/>
              <w:rPr>
                <w:rFonts w:hint="default" w:ascii="Times New Roman" w:hAnsi="Times New Roman" w:eastAsia="宋体" w:cs="Times New Roman"/>
                <w:color w:val="auto"/>
              </w:rPr>
            </w:pPr>
            <w:r>
              <w:rPr>
                <w:rFonts w:hint="default" w:ascii="Times New Roman" w:hAnsi="Times New Roman" w:eastAsia="宋体" w:cs="Times New Roman"/>
                <w:color w:val="auto"/>
              </w:rPr>
              <w:t>项目名称</w:t>
            </w:r>
          </w:p>
        </w:tc>
        <w:tc>
          <w:tcPr>
            <w:tcW w:w="1492" w:type="dxa"/>
            <w:noWrap w:val="0"/>
            <w:tcMar>
              <w:top w:w="0" w:type="dxa"/>
              <w:left w:w="51" w:type="dxa"/>
              <w:bottom w:w="0" w:type="dxa"/>
              <w:right w:w="51" w:type="dxa"/>
            </w:tcMar>
            <w:vAlign w:val="center"/>
          </w:tcPr>
          <w:p>
            <w:pPr>
              <w:pStyle w:val="42"/>
              <w:bidi w:val="0"/>
              <w:rPr>
                <w:rFonts w:hint="default" w:ascii="Times New Roman" w:hAnsi="Times New Roman" w:eastAsia="宋体" w:cs="Times New Roman"/>
                <w:color w:val="auto"/>
              </w:rPr>
            </w:pPr>
            <w:r>
              <w:rPr>
                <w:rFonts w:hint="default" w:ascii="Times New Roman" w:hAnsi="Times New Roman" w:eastAsia="宋体" w:cs="Times New Roman"/>
                <w:color w:val="auto"/>
              </w:rPr>
              <w:t>环评批复单位</w:t>
            </w:r>
          </w:p>
        </w:tc>
        <w:tc>
          <w:tcPr>
            <w:tcW w:w="3297" w:type="dxa"/>
            <w:noWrap w:val="0"/>
            <w:tcMar>
              <w:top w:w="0" w:type="dxa"/>
              <w:left w:w="51" w:type="dxa"/>
              <w:bottom w:w="0" w:type="dxa"/>
              <w:right w:w="51" w:type="dxa"/>
            </w:tcMar>
            <w:vAlign w:val="center"/>
          </w:tcPr>
          <w:p>
            <w:pPr>
              <w:pStyle w:val="42"/>
              <w:bidi w:val="0"/>
              <w:rPr>
                <w:rFonts w:hint="default" w:ascii="Times New Roman" w:hAnsi="Times New Roman" w:eastAsia="宋体" w:cs="Times New Roman"/>
                <w:color w:val="auto"/>
              </w:rPr>
            </w:pPr>
            <w:r>
              <w:rPr>
                <w:rFonts w:hint="eastAsia" w:cs="Times New Roman"/>
                <w:color w:val="auto"/>
                <w:lang w:val="en-US" w:eastAsia="zh-CN"/>
              </w:rPr>
              <w:t>批复</w:t>
            </w:r>
            <w:r>
              <w:rPr>
                <w:rFonts w:hint="default" w:ascii="Times New Roman" w:hAnsi="Times New Roman" w:eastAsia="宋体" w:cs="Times New Roman"/>
                <w:color w:val="auto"/>
              </w:rPr>
              <w:t>文号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534" w:type="dxa"/>
            <w:noWrap w:val="0"/>
            <w:tcMar>
              <w:top w:w="0" w:type="dxa"/>
              <w:left w:w="51" w:type="dxa"/>
              <w:bottom w:w="0" w:type="dxa"/>
              <w:right w:w="51" w:type="dxa"/>
            </w:tcMar>
            <w:vAlign w:val="center"/>
          </w:tcPr>
          <w:p>
            <w:pPr>
              <w:pStyle w:val="42"/>
              <w:bidi w:val="0"/>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3992" w:type="dxa"/>
            <w:noWrap w:val="0"/>
            <w:tcMar>
              <w:top w:w="0" w:type="dxa"/>
              <w:left w:w="51" w:type="dxa"/>
              <w:bottom w:w="0" w:type="dxa"/>
              <w:right w:w="51" w:type="dxa"/>
            </w:tcMar>
            <w:vAlign w:val="center"/>
          </w:tcPr>
          <w:p>
            <w:pPr>
              <w:pStyle w:val="42"/>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山东省润泰新材料有限公司氨基模复合材料产业园（一期）项目环境影响报告书</w:t>
            </w:r>
          </w:p>
        </w:tc>
        <w:tc>
          <w:tcPr>
            <w:tcW w:w="1492" w:type="dxa"/>
            <w:noWrap w:val="0"/>
            <w:tcMar>
              <w:top w:w="0" w:type="dxa"/>
              <w:left w:w="51" w:type="dxa"/>
              <w:bottom w:w="0" w:type="dxa"/>
              <w:right w:w="51" w:type="dxa"/>
            </w:tcMar>
            <w:vAlign w:val="center"/>
          </w:tcPr>
          <w:p>
            <w:pPr>
              <w:pStyle w:val="42"/>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枣庄市生态环境局</w:t>
            </w:r>
          </w:p>
        </w:tc>
        <w:tc>
          <w:tcPr>
            <w:tcW w:w="3297" w:type="dxa"/>
            <w:noWrap w:val="0"/>
            <w:tcMar>
              <w:top w:w="0" w:type="dxa"/>
              <w:left w:w="51" w:type="dxa"/>
              <w:bottom w:w="0" w:type="dxa"/>
              <w:right w:w="51" w:type="dxa"/>
            </w:tcMar>
            <w:vAlign w:val="center"/>
          </w:tcPr>
          <w:p>
            <w:pPr>
              <w:pStyle w:val="42"/>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2021年1月26日</w:t>
            </w:r>
          </w:p>
          <w:p>
            <w:pPr>
              <w:pStyle w:val="42"/>
              <w:bidi w:val="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枣环许可字[2021]9号</w:t>
            </w:r>
          </w:p>
        </w:tc>
      </w:tr>
    </w:tbl>
    <w:p>
      <w:pPr>
        <w:pStyle w:val="5"/>
        <w:bidi w:val="0"/>
        <w:rPr>
          <w:rFonts w:hint="default" w:ascii="Times New Roman" w:hAnsi="Times New Roman" w:cs="Times New Roman"/>
          <w:color w:val="auto"/>
        </w:rPr>
      </w:pPr>
      <w:r>
        <w:rPr>
          <w:rFonts w:hint="default" w:ascii="Times New Roman" w:hAnsi="Times New Roman" w:cs="Times New Roman"/>
          <w:color w:val="auto"/>
        </w:rPr>
        <w:t>3.1.2 企业所在地自然环境概况</w:t>
      </w:r>
    </w:p>
    <w:p>
      <w:pPr>
        <w:bidi w:val="0"/>
        <w:rPr>
          <w:rFonts w:hint="default" w:ascii="Times New Roman" w:hAnsi="Times New Roman" w:cs="Times New Roman"/>
          <w:color w:val="auto"/>
          <w:lang w:val="zh-CN"/>
        </w:rPr>
      </w:pPr>
      <w:r>
        <w:rPr>
          <w:rFonts w:hint="default" w:ascii="Times New Roman" w:hAnsi="Times New Roman" w:cs="Times New Roman"/>
          <w:color w:val="auto"/>
          <w:lang w:val="en-US" w:eastAsia="zh-CN"/>
        </w:rPr>
        <w:t>1、</w:t>
      </w:r>
      <w:r>
        <w:rPr>
          <w:rFonts w:hint="default" w:ascii="Times New Roman" w:hAnsi="Times New Roman" w:cs="Times New Roman"/>
          <w:color w:val="auto"/>
          <w:lang w:val="zh-CN"/>
        </w:rPr>
        <w:t>地理位置</w:t>
      </w:r>
    </w:p>
    <w:p>
      <w:pPr>
        <w:bidi w:val="0"/>
        <w:rPr>
          <w:rFonts w:hint="default" w:ascii="Times New Roman" w:hAnsi="Times New Roman" w:cs="Times New Roman"/>
          <w:color w:val="auto"/>
          <w:lang w:val="zh-CN"/>
        </w:rPr>
      </w:pPr>
      <w:r>
        <w:rPr>
          <w:rFonts w:hint="default" w:ascii="Times New Roman" w:hAnsi="Times New Roman" w:cs="Times New Roman"/>
          <w:color w:val="auto"/>
          <w:lang w:val="zh-CN"/>
        </w:rPr>
        <w:t>本项目山东省枣庄市峄城区峨山镇峄城化工产业园。厂区内厂区中心坐标（度）东经：117.790524°，北纬：34.767080°)该区域交通便捷，所在位置远离居民区，地块内地势平坦，具有良好的建设条件，本项目地理位置图见附图1。</w:t>
      </w:r>
    </w:p>
    <w:p>
      <w:pPr>
        <w:bidi w:val="0"/>
        <w:rPr>
          <w:rFonts w:hint="default" w:ascii="Times New Roman" w:hAnsi="Times New Roman" w:cs="Times New Roman"/>
          <w:color w:val="auto"/>
          <w:lang w:val="zh-CN"/>
        </w:rPr>
      </w:pPr>
      <w:r>
        <w:rPr>
          <w:rFonts w:hint="default" w:ascii="Times New Roman" w:hAnsi="Times New Roman" w:cs="Times New Roman"/>
          <w:color w:val="auto"/>
          <w:lang w:val="zh-CN"/>
        </w:rPr>
        <w:t>峄城区位于枣庄市境域中南部，地处山东省南部边陲。东连临沂市兰陵县，西接薛城区，北依市中区，南濒韩庄运河与台儿庄区比邻，西南隅与微山县相接。位处北纬34°34'－34°48'，东经117°23'－117°49'之间。东西最长处40km，南北最宽处24.5km。总面积627.6km</w:t>
      </w:r>
      <w:r>
        <w:rPr>
          <w:rFonts w:hint="default" w:ascii="Times New Roman" w:hAnsi="Times New Roman" w:cs="Times New Roman"/>
          <w:color w:val="auto"/>
          <w:vertAlign w:val="superscript"/>
          <w:lang w:val="zh-CN"/>
        </w:rPr>
        <w:t>2</w:t>
      </w:r>
      <w:r>
        <w:rPr>
          <w:rFonts w:hint="default" w:ascii="Times New Roman" w:hAnsi="Times New Roman" w:cs="Times New Roman"/>
          <w:color w:val="auto"/>
          <w:lang w:val="zh-CN"/>
        </w:rPr>
        <w:t>，占枣庄市总面积的14%，占山东省总面积的0.14%。峄城区水陆空交通便利，有“黄金水道”之称的京杭大运河在南部穿过，毗邻青岛、日照、岚山、连云港等沿海港口。西靠京沪铁路，东临京沪高速公路，京福高速、206国道、京沪高速铁路纵贯南北，距济南、青岛、徐州三大机场分别需要2.5小时、3.5小时和不足40分钟的车程，交通航运网络四通八达。</w:t>
      </w:r>
    </w:p>
    <w:p>
      <w:pPr>
        <w:numPr>
          <w:ilvl w:val="0"/>
          <w:numId w:val="7"/>
        </w:numPr>
        <w:bidi w:val="0"/>
        <w:rPr>
          <w:rFonts w:hint="default" w:ascii="Times New Roman" w:hAnsi="Times New Roman" w:cs="Times New Roman"/>
          <w:color w:val="auto"/>
          <w:lang w:val="zh-CN"/>
        </w:rPr>
      </w:pPr>
      <w:r>
        <w:rPr>
          <w:rFonts w:hint="default" w:ascii="Times New Roman" w:hAnsi="Times New Roman" w:cs="Times New Roman"/>
          <w:color w:val="auto"/>
          <w:lang w:val="zh-CN"/>
        </w:rPr>
        <w:t>地形、地貌、地质</w:t>
      </w:r>
    </w:p>
    <w:p>
      <w:pPr>
        <w:numPr>
          <w:ilvl w:val="0"/>
          <w:numId w:val="8"/>
        </w:numPr>
        <w:bidi w:val="0"/>
        <w:ind w:firstLine="480" w:firstLineChars="200"/>
        <w:rPr>
          <w:rFonts w:hint="default" w:ascii="Times New Roman" w:hAnsi="Times New Roman" w:cs="Times New Roman"/>
          <w:color w:val="auto"/>
          <w:highlight w:val="none"/>
          <w:lang w:val="zh-CN"/>
        </w:rPr>
      </w:pPr>
      <w:r>
        <w:rPr>
          <w:rFonts w:hint="default" w:ascii="Times New Roman" w:hAnsi="Times New Roman" w:cs="Times New Roman"/>
          <w:color w:val="auto"/>
          <w:highlight w:val="none"/>
          <w:lang w:val="zh-CN"/>
        </w:rPr>
        <w:t>地形、地貌</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峄城区处于鲁中南丘陵和淮北平原的衔接地带，地形突出特点：类型多样，高度差别、水平变化大，丘陵、平原、洼地间隔交错、不典型、不集中，自然条件差异不明显。地势北高南低、西高东低，北部群山连绵，南部为开阔平原，最高海拔350.8m，地形多样，具有平原、洼地、丘陵兼有的特点。南端薄山山丘和西北部以山丘为主的坡地，地形地貌类型属丘陵区和山前坡组成的山间盆地，地面标高50m～114m，相对高差64m，除了一期工程所处的地段为东偏北—西偏南方向延伸的山丘外，其余的坡地地段地势总体西北高、东南低，变化在54～58m之间。</w:t>
      </w:r>
    </w:p>
    <w:p>
      <w:pPr>
        <w:numPr>
          <w:ilvl w:val="0"/>
          <w:numId w:val="8"/>
        </w:numPr>
        <w:bidi w:val="0"/>
        <w:ind w:left="0" w:leftChars="0"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地质特征</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项目周围位于华北陆块（I）鲁西隆起（II）鲁中隆起区（III）枣庄断褶带（Ⅳ）枣庄凹陷（Ⅴ）的东部。区域上出露以泰山岩群、土门群及寒武纪地层为主，岩浆岩为新太古代和燕山晚期岩浆岩，构造较发育。当今地壳表面形态的雏形与构造格架是在中生代末新生代初的基础上演变而来的，以继承性断裂活动和区域性的断块差异活动为主的新构造运动使本工业园所处的鲁中南地区持续上升，鲁西南地区继承性的沉降，新构造运动活跃。鲁中南山区上升运动较为强烈，泰山、鲁山、沂山、蒙山长期隆起上升，海拔高程均在1000m以上，切割强烈，中一低山、丘陵和剥蚀平原高低层次明显；峄山断裂使鲁西平原与鲁中南山地分离，新生代沉积物主要沉积于峄山断裂西侧，新第三纪时期新构造活动较为强烈，鲁南、鲁西南地区正处在不断地升降运动之中。项目区位于郯渤、聊考两大地震带之间的临沂—济宁中强地震活动带内，枣庄断裂是区域最大的断裂，具有多期活动的特点，为第四纪早期活动断裂，晚更新世以来活动微弱。根据《中国地震参数区划图》（GB18306-2001），该区地震峰值加速度值为0.10g(地震基本烈度七度)，属地壳基本稳定区。</w:t>
      </w:r>
    </w:p>
    <w:p>
      <w:pPr>
        <w:numPr>
          <w:ilvl w:val="0"/>
          <w:numId w:val="7"/>
        </w:numPr>
        <w:bidi w:val="0"/>
        <w:ind w:left="0" w:leftChars="0"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气候</w:t>
      </w:r>
    </w:p>
    <w:p>
      <w:pPr>
        <w:numPr>
          <w:ilvl w:val="0"/>
          <w:numId w:val="9"/>
        </w:numPr>
        <w:bidi w:val="0"/>
        <w:rPr>
          <w:rFonts w:hint="default" w:ascii="Times New Roman" w:hAnsi="Times New Roman" w:cs="Times New Roman"/>
          <w:color w:val="auto"/>
          <w:lang w:val="zh-CN"/>
        </w:rPr>
      </w:pPr>
      <w:r>
        <w:rPr>
          <w:rFonts w:hint="default" w:ascii="Times New Roman" w:hAnsi="Times New Roman" w:cs="Times New Roman"/>
          <w:color w:val="auto"/>
          <w:lang w:val="zh-CN"/>
        </w:rPr>
        <w:t>气候特征</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本区属暖温带季风大陆型气候，四季分明，具有冬夏季风气候的特点。春季受华北、华东气旋的影响，温度高，湿度大，常产生大范围的降雨，时有大风、暴雨或冰雹等灾害天气。秋季常出现秋高气爽天气，有时也有秋雨连绵的情况，形成局部地区内涝。冬季常有偏北大风，大气干燥寒冷，雨雪稀少。</w:t>
      </w:r>
    </w:p>
    <w:p>
      <w:pPr>
        <w:numPr>
          <w:ilvl w:val="0"/>
          <w:numId w:val="9"/>
        </w:numPr>
        <w:bidi w:val="0"/>
        <w:ind w:left="0" w:leftChars="0"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气温</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多年平均气温13.7℃，多年最高平均气温19.4℃，多年最低平均气温8.8℃，历年极端最高气温40.5℃（1966年7月18、19日），历年极端最低气温-22.3℃（1967年1月3日）。最热月出现在7月，月平均气温31.4℃；最冷月出现在1月，月平均气温4.5℃。</w:t>
      </w:r>
    </w:p>
    <w:p>
      <w:pPr>
        <w:numPr>
          <w:ilvl w:val="0"/>
          <w:numId w:val="9"/>
        </w:numPr>
        <w:bidi w:val="0"/>
        <w:ind w:left="0" w:leftChars="0"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降水</w:t>
      </w:r>
    </w:p>
    <w:p>
      <w:pPr>
        <w:numPr>
          <w:ilvl w:val="0"/>
          <w:numId w:val="0"/>
        </w:numPr>
        <w:bidi w:val="0"/>
        <w:ind w:firstLine="480" w:firstLineChars="20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zh-CN"/>
        </w:rPr>
        <w:t>多年平均降水量：821.5mm</w:t>
      </w:r>
      <w:r>
        <w:rPr>
          <w:rFonts w:hint="default" w:ascii="Times New Roman" w:hAnsi="Times New Roman" w:cs="Times New Roman"/>
          <w:color w:val="auto"/>
          <w:lang w:val="en-US" w:eastAsia="zh-CN"/>
        </w:rPr>
        <w:t>；</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年最大降水量：1392.9mm（1971年）；</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年最小降水量：527.6mm（1966年）；</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日最大降水量：558.5mm（1971年8月9日）；</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日降水量≥25.0mm的降水日数多年平均为9.3天；</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日降水量≥50.0mm的降水日数多年平均为3.1天。</w:t>
      </w:r>
    </w:p>
    <w:p>
      <w:pPr>
        <w:numPr>
          <w:ilvl w:val="0"/>
          <w:numId w:val="9"/>
        </w:numPr>
        <w:bidi w:val="0"/>
        <w:ind w:left="0" w:leftChars="0"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冰情</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河道冰厚度在10~20cm之间，特殊年份可达30cm，最大冻土深30cm。南四湖水面封冻时间长短及厚度随气候条件的变化有所不同，一般在12月中旬左右出现结冰，次年2月上旬解冻，冰期约2个月，冰厚一般小于10cm，个别年份达到20cm。近年来，由于气候变暖，航道水深增加，过往船只增多，t位增大，已形不成封冻情形。</w:t>
      </w:r>
    </w:p>
    <w:p>
      <w:pPr>
        <w:numPr>
          <w:ilvl w:val="0"/>
          <w:numId w:val="9"/>
        </w:numPr>
        <w:bidi w:val="0"/>
        <w:ind w:left="0" w:leftChars="0"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雾况</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多年平均出现的雾日数为13.7天，最多年为24天，多出现在每年的1月、11月、12月三个月份。</w:t>
      </w:r>
    </w:p>
    <w:p>
      <w:pPr>
        <w:numPr>
          <w:ilvl w:val="0"/>
          <w:numId w:val="9"/>
        </w:numPr>
        <w:bidi w:val="0"/>
        <w:ind w:left="0" w:leftChars="0"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湿度</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历年平均相对湿度：71%历年最小相对湿度：0%（1977年2月23日）历年相对湿度≥80%的天数：41.3天。</w:t>
      </w:r>
    </w:p>
    <w:p>
      <w:pPr>
        <w:numPr>
          <w:ilvl w:val="0"/>
          <w:numId w:val="7"/>
        </w:numPr>
        <w:bidi w:val="0"/>
        <w:ind w:left="0" w:leftChars="0"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水文水系</w:t>
      </w:r>
    </w:p>
    <w:p>
      <w:pPr>
        <w:numPr>
          <w:ilvl w:val="0"/>
          <w:numId w:val="1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地表水</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峄城区属于淮河流域韩庄运河以北支流系统，以峄城大沙河为界，河西属南四湖 东区，河东属邳苍地区。地面径流自北向南、自西向东。境内主要河道有峄城大沙河、 淘沟河、新沟河等九条河流，总长114.5km。峄城大沙河从城区穿过，是韩庄运河最大的支流，发源于枣庄东北部大鹰台，郭里集支流、齐村支流分别在峄城大沙河上游汇入，向南在大风口处入韩庄运河，境内全长13.5km，流域面积628km</w:t>
      </w:r>
      <w:r>
        <w:rPr>
          <w:rFonts w:hint="default" w:ascii="Times New Roman" w:hAnsi="Times New Roman" w:cs="Times New Roman"/>
          <w:color w:val="auto"/>
          <w:vertAlign w:val="superscript"/>
          <w:lang w:val="zh-CN"/>
        </w:rPr>
        <w:t>2</w:t>
      </w:r>
      <w:r>
        <w:rPr>
          <w:rFonts w:hint="default" w:ascii="Times New Roman" w:hAnsi="Times New Roman" w:cs="Times New Roman"/>
          <w:color w:val="auto"/>
          <w:lang w:val="zh-CN"/>
        </w:rPr>
        <w:t>。韩庄运河，自微山县韩庄镇起，东南行，八里沟以下沿韩庄老运河开挖，经台儿庄，至苏鲁边界与中运河相接，全长42.5km。设有韩庄船闸、万年闸船闸、台儿庄船闸，二级航道，可常年通航1000吨及以上船舶。分3期进行治理。（1958～1962年）主要治理工程有：疏挖土城至黄林庄段，长3.5km。（1963～1966年），主要治理工程有：拓宽湖口至新闸子12km河槽，清除老运河残堤，1972年，韩庄运河作为治淮战略骨干工程，经水电部批准按微山湖水位33.5m3时，下泄2500m3/s（包括伊家河200m</w:t>
      </w:r>
      <w:r>
        <w:rPr>
          <w:rFonts w:hint="default" w:ascii="Times New Roman" w:hAnsi="Times New Roman" w:cs="Times New Roman"/>
          <w:color w:val="auto"/>
          <w:vertAlign w:val="superscript"/>
          <w:lang w:val="zh-CN"/>
        </w:rPr>
        <w:t>3</w:t>
      </w:r>
      <w:r>
        <w:rPr>
          <w:rFonts w:hint="default" w:ascii="Times New Roman" w:hAnsi="Times New Roman" w:cs="Times New Roman"/>
          <w:color w:val="auto"/>
          <w:lang w:val="zh-CN"/>
        </w:rPr>
        <w:t>/s，老运河250m</w:t>
      </w:r>
      <w:r>
        <w:rPr>
          <w:rFonts w:hint="default" w:ascii="Times New Roman" w:hAnsi="Times New Roman" w:cs="Times New Roman"/>
          <w:color w:val="auto"/>
          <w:vertAlign w:val="superscript"/>
          <w:lang w:val="zh-CN"/>
        </w:rPr>
        <w:t>3</w:t>
      </w:r>
      <w:r>
        <w:rPr>
          <w:rFonts w:hint="default" w:ascii="Times New Roman" w:hAnsi="Times New Roman" w:cs="Times New Roman"/>
          <w:color w:val="auto"/>
          <w:lang w:val="zh-CN"/>
        </w:rPr>
        <w:t>/s）的标准，继续扩大治理。</w:t>
      </w:r>
    </w:p>
    <w:p>
      <w:pPr>
        <w:numPr>
          <w:ilvl w:val="0"/>
          <w:numId w:val="10"/>
        </w:numPr>
        <w:bidi w:val="0"/>
        <w:ind w:left="0" w:leftChars="0"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地下水</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本区所在区域属于寒武系中统、下统地层，含水岩组为碳酸盐岩类裂隙岩溶含水岩组，寒武系下统馒头组碳酸盐岩夹碎屑岩类裂隙岩溶含水亚组和寒武系中统张夏组碳酸盐岩类岩溶裂隙含水亚组，地下水主要赋存于灰岩的裂隙岩溶中。前者出露位置较高，火成岩体穿插较多，富水性较弱，在沟谷、断裂带附近或变质岩、火成岩体的接触部位，常有泉水出露，水质化学类型为HCO</w:t>
      </w:r>
      <w:r>
        <w:rPr>
          <w:rFonts w:hint="default" w:ascii="Times New Roman" w:hAnsi="Times New Roman" w:cs="Times New Roman"/>
          <w:color w:val="auto"/>
          <w:vertAlign w:val="subscript"/>
          <w:lang w:val="zh-CN"/>
        </w:rPr>
        <w:t>3</w:t>
      </w:r>
      <w:r>
        <w:rPr>
          <w:rFonts w:hint="default" w:ascii="Times New Roman" w:hAnsi="Times New Roman" w:cs="Times New Roman"/>
          <w:color w:val="auto"/>
          <w:lang w:val="zh-CN"/>
        </w:rPr>
        <w:t>-Ca型水，矿化度小于0.5g/L；后者地表岩溶裂隙较发育，而地下则不够发育，岩溶形态以溶蚀裂隙和小的溶蚀孔、洞为主，水化学类型一般为HCO</w:t>
      </w:r>
      <w:r>
        <w:rPr>
          <w:rFonts w:hint="default" w:ascii="Times New Roman" w:hAnsi="Times New Roman" w:cs="Times New Roman"/>
          <w:color w:val="auto"/>
          <w:vertAlign w:val="subscript"/>
          <w:lang w:val="zh-CN"/>
        </w:rPr>
        <w:t>3</w:t>
      </w:r>
      <w:r>
        <w:rPr>
          <w:rFonts w:hint="default" w:ascii="Times New Roman" w:hAnsi="Times New Roman" w:cs="Times New Roman"/>
          <w:color w:val="auto"/>
          <w:lang w:val="zh-CN"/>
        </w:rPr>
        <w:t>-Ca型水，矿化度小于0.5g/L。</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本区域的风化裂隙水主要受大气降水补给，汛期接受河水补给，枯水季节河水接受地下水的排泄，地下水流向西南。现在该地区地下水主要为附近农村生活及生产利用，低洼地带有许多大口井，裂隙发育地区有成井条件，对工业取水无集中开采供水价值。</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峄城区饮用水水源地位于三里庄。</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三里庄水源地保护区划分如下：</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一级保护区：1号—6号取水井半径70m的正方形区域。</w:t>
      </w:r>
    </w:p>
    <w:p>
      <w:pPr>
        <w:numPr>
          <w:ilvl w:val="0"/>
          <w:numId w:val="0"/>
        </w:numPr>
        <w:bidi w:val="0"/>
        <w:ind w:firstLine="480" w:firstLineChars="200"/>
        <w:rPr>
          <w:rFonts w:hint="default" w:ascii="Times New Roman" w:hAnsi="Times New Roman" w:cs="Times New Roman"/>
          <w:color w:val="auto"/>
          <w:lang w:val="zh-CN"/>
        </w:rPr>
      </w:pPr>
      <w:r>
        <w:rPr>
          <w:rFonts w:hint="default" w:ascii="Times New Roman" w:hAnsi="Times New Roman" w:cs="Times New Roman"/>
          <w:color w:val="auto"/>
          <w:lang w:val="zh-CN"/>
        </w:rPr>
        <w:t>二级保护区：东至1号井东210m，西至仙坛路，南至2号井南120m，北至承水东路南100m范围内的区域（一级保护区范围除外）。</w:t>
      </w:r>
    </w:p>
    <w:p>
      <w:pPr>
        <w:numPr>
          <w:ilvl w:val="0"/>
          <w:numId w:val="7"/>
        </w:numPr>
        <w:bidi w:val="0"/>
        <w:ind w:left="0" w:leftChars="0" w:firstLine="480" w:firstLineChars="200"/>
        <w:rPr>
          <w:rFonts w:hint="default" w:ascii="Times New Roman" w:hAnsi="Times New Roman" w:cs="Times New Roman"/>
          <w:color w:val="auto"/>
        </w:rPr>
      </w:pPr>
      <w:r>
        <w:rPr>
          <w:rFonts w:hint="default" w:ascii="Times New Roman" w:hAnsi="Times New Roman" w:cs="Times New Roman"/>
          <w:color w:val="auto"/>
        </w:rPr>
        <w:t>植被、生物多样性</w:t>
      </w:r>
    </w:p>
    <w:p>
      <w:pPr>
        <w:numPr>
          <w:ilvl w:val="0"/>
          <w:numId w:val="11"/>
        </w:numPr>
        <w:bidi w:val="0"/>
        <w:ind w:firstLine="480" w:firstLineChars="200"/>
        <w:rPr>
          <w:rFonts w:hint="default" w:ascii="Times New Roman" w:hAnsi="Times New Roman" w:cs="Times New Roman"/>
          <w:color w:val="auto"/>
        </w:rPr>
      </w:pPr>
      <w:r>
        <w:rPr>
          <w:rFonts w:hint="default" w:ascii="Times New Roman" w:hAnsi="Times New Roman" w:cs="Times New Roman"/>
          <w:color w:val="auto"/>
        </w:rPr>
        <w:t>土壤</w:t>
      </w:r>
    </w:p>
    <w:p>
      <w:pPr>
        <w:numPr>
          <w:ilvl w:val="0"/>
          <w:numId w:val="0"/>
        </w:numPr>
        <w:bidi w:val="0"/>
        <w:ind w:firstLine="480" w:firstLineChars="200"/>
        <w:rPr>
          <w:rFonts w:hint="default" w:ascii="Times New Roman" w:hAnsi="Times New Roman" w:cs="Times New Roman"/>
          <w:color w:val="auto"/>
        </w:rPr>
      </w:pPr>
      <w:r>
        <w:rPr>
          <w:rFonts w:hint="default" w:ascii="Times New Roman" w:hAnsi="Times New Roman" w:cs="Times New Roman"/>
          <w:color w:val="auto"/>
        </w:rPr>
        <w:t>峄城区土壤共分为3个土类，7个亚类，17个土属，46个土种。其中棕壤土面积2602.13公顷，占土地面积的5.2%。褐土面积34337.87公顷，占土地面积的68.3%，各乡镇均有分布，宜种小麦、大豆、花生等。沙姜土面积13305公顷，占土地面积的26.5%，主要分布在南部12个乡镇，宜种玉米、高粱、小麦、地瓜、花生等。</w:t>
      </w:r>
    </w:p>
    <w:p>
      <w:pPr>
        <w:numPr>
          <w:ilvl w:val="0"/>
          <w:numId w:val="11"/>
        </w:numPr>
        <w:bidi w:val="0"/>
        <w:ind w:left="0" w:leftChars="0" w:firstLine="480" w:firstLineChars="200"/>
        <w:rPr>
          <w:rFonts w:hint="default" w:ascii="Times New Roman" w:hAnsi="Times New Roman" w:cs="Times New Roman"/>
          <w:color w:val="auto"/>
        </w:rPr>
      </w:pPr>
      <w:r>
        <w:rPr>
          <w:rFonts w:hint="default" w:ascii="Times New Roman" w:hAnsi="Times New Roman" w:cs="Times New Roman"/>
          <w:color w:val="auto"/>
        </w:rPr>
        <w:t>植被、动物</w:t>
      </w:r>
    </w:p>
    <w:p>
      <w:pPr>
        <w:numPr>
          <w:ilvl w:val="0"/>
          <w:numId w:val="0"/>
        </w:numPr>
        <w:bidi w:val="0"/>
        <w:ind w:firstLine="480" w:firstLineChars="200"/>
        <w:rPr>
          <w:rFonts w:hint="default" w:ascii="Times New Roman" w:hAnsi="Times New Roman" w:cs="Times New Roman"/>
          <w:color w:val="auto"/>
        </w:rPr>
      </w:pPr>
      <w:r>
        <w:rPr>
          <w:rFonts w:hint="default" w:ascii="Times New Roman" w:hAnsi="Times New Roman" w:cs="Times New Roman"/>
          <w:color w:val="auto"/>
        </w:rPr>
        <w:t>峄城区植被覆盖总面积2.43万公顷。其中草山坡，即自然植被0.5万公顷；林地和农田林网，即人工植被1.93万公顷。自然植被占人工植被的26%。全区生物资源种类较多。农作物中粮食作物共13种，主要有小麦、玉米、地瓜等。经济作物主要有花生、棉花、油菜、芝麻等13种。蔬菜主要有白菜、萝卜、西红柿、茄子、辣椒等28种。林木果树共有153种，其中：主要用材树有杨树、刺槐、泡桐等；主要防护林树种有：侧柏、黄荆、赤槐等；主要观赏绿化树有：法桐、青檀、雪松、水杉等；主要果品和经济林树种有：石榴、枣、桑、苹果、桃、杏、板栗等，其中榴园镇石榴、阴平大枣为全国名、特、优、稀品种。中药材有菟丝子、地下葛根、酸枣仁等。灌木草丛植被都属次生植被，灌木主要有黄荆、胡枝子、酸枣等；草本植被以禾本科最多，以黄白草、马唐为主。水生维管束植物53种。畜禽共有14种，主要为猪、牛、马、驴、骡、羊、鸡、鸭、鹅、兔等，当地良种主要有“枣庄黑猪”和“峄城奶山羊”。鱼类主要有鲢、鳙、鲤、草、鲫等54种，另外还有50种鸟类，17种小兽类，随着全区生态环境的不断改善，鸟类和小兽类种类和数量有增加的趋势。总的来说，全区生物种类较多，名、特、优品种丰富。</w:t>
      </w:r>
    </w:p>
    <w:p>
      <w:pPr>
        <w:numPr>
          <w:ilvl w:val="0"/>
          <w:numId w:val="7"/>
        </w:numPr>
        <w:bidi w:val="0"/>
        <w:ind w:left="0" w:leftChars="0" w:firstLine="480" w:firstLineChars="200"/>
        <w:rPr>
          <w:rFonts w:hint="default" w:ascii="Times New Roman" w:hAnsi="Times New Roman" w:cs="Times New Roman"/>
          <w:color w:val="auto"/>
        </w:rPr>
      </w:pPr>
      <w:r>
        <w:rPr>
          <w:rFonts w:hint="default" w:ascii="Times New Roman" w:hAnsi="Times New Roman" w:cs="Times New Roman"/>
          <w:color w:val="auto"/>
        </w:rPr>
        <w:t>矿业资源</w:t>
      </w:r>
    </w:p>
    <w:p>
      <w:pPr>
        <w:numPr>
          <w:ilvl w:val="0"/>
          <w:numId w:val="0"/>
        </w:numPr>
        <w:bidi w:val="0"/>
        <w:ind w:firstLine="480" w:firstLineChars="200"/>
        <w:rPr>
          <w:rFonts w:hint="default" w:ascii="Times New Roman" w:hAnsi="Times New Roman" w:cs="Times New Roman"/>
          <w:color w:val="auto"/>
        </w:rPr>
      </w:pPr>
      <w:r>
        <w:rPr>
          <w:rFonts w:hint="default" w:ascii="Times New Roman" w:hAnsi="Times New Roman" w:cs="Times New Roman"/>
          <w:color w:val="auto"/>
        </w:rPr>
        <w:t>峄城的矿产资源主要有石膏、煤炭、石灰石、粘土、石英石、大理石、白云石、铁矿石等，尤以石膏储量最为丰富，主要分布于本区东部，面积为6km</w:t>
      </w:r>
      <w:r>
        <w:rPr>
          <w:rFonts w:hint="default" w:ascii="Times New Roman" w:hAnsi="Times New Roman" w:cs="Times New Roman"/>
          <w:color w:val="auto"/>
          <w:vertAlign w:val="superscript"/>
        </w:rPr>
        <w:t>2</w:t>
      </w:r>
      <w:r>
        <w:rPr>
          <w:rFonts w:hint="default" w:ascii="Times New Roman" w:hAnsi="Times New Roman" w:cs="Times New Roman"/>
          <w:color w:val="auto"/>
        </w:rPr>
        <w:t>，埋深-20至-330m，膏层厚度1～14m，总储量约占全国已探明储量的六分之一，是山东省最大的石膏矿区。煤炭储量主要分布在西南部，探明的储量有4000多万t。</w:t>
      </w:r>
    </w:p>
    <w:p>
      <w:pPr>
        <w:numPr>
          <w:ilvl w:val="0"/>
          <w:numId w:val="7"/>
        </w:numPr>
        <w:bidi w:val="0"/>
        <w:ind w:left="0" w:leftChars="0" w:firstLine="480" w:firstLineChars="200"/>
        <w:rPr>
          <w:rFonts w:hint="default" w:ascii="Times New Roman" w:hAnsi="Times New Roman" w:cs="Times New Roman"/>
          <w:color w:val="auto"/>
        </w:rPr>
      </w:pPr>
      <w:r>
        <w:rPr>
          <w:rFonts w:hint="default" w:ascii="Times New Roman" w:hAnsi="Times New Roman" w:cs="Times New Roman"/>
          <w:color w:val="auto"/>
        </w:rPr>
        <w:t>南水北调东线工程</w:t>
      </w:r>
    </w:p>
    <w:p>
      <w:pPr>
        <w:numPr>
          <w:ilvl w:val="0"/>
          <w:numId w:val="0"/>
        </w:numPr>
        <w:bidi w:val="0"/>
        <w:ind w:firstLine="480" w:firstLineChars="200"/>
        <w:rPr>
          <w:rFonts w:hint="default" w:ascii="Times New Roman" w:hAnsi="Times New Roman" w:cs="Times New Roman"/>
          <w:color w:val="auto"/>
        </w:rPr>
      </w:pPr>
      <w:r>
        <w:rPr>
          <w:rFonts w:hint="default" w:ascii="Times New Roman" w:hAnsi="Times New Roman" w:cs="Times New Roman"/>
          <w:color w:val="auto"/>
        </w:rPr>
        <w:t>根据《流域水污染物综合排放标准第1部分：南四湖东平湖流域》（DB37/3416.1—2018），南四湖东平湖流域范围及控制区划分南四湖东平湖流域范围包括枣庄市、济宁市、泰安市、莱芜市、菏泽市5市全部区域。为满足南水北调东线工程调水水质要求，将南四湖、东平湖流域划分为下列三类控制区：</w:t>
      </w:r>
    </w:p>
    <w:p>
      <w:pPr>
        <w:numPr>
          <w:ilvl w:val="0"/>
          <w:numId w:val="0"/>
        </w:numPr>
        <w:bidi w:val="0"/>
        <w:ind w:firstLine="480" w:firstLineChars="200"/>
        <w:rPr>
          <w:rFonts w:hint="default" w:ascii="Times New Roman" w:hAnsi="Times New Roman" w:cs="Times New Roman"/>
          <w:color w:val="auto"/>
        </w:rPr>
      </w:pPr>
      <w:r>
        <w:rPr>
          <w:rFonts w:hint="default" w:ascii="Times New Roman" w:hAnsi="Times New Roman" w:cs="Times New Roman"/>
          <w:color w:val="auto"/>
        </w:rPr>
        <w:t>核心保护区域：南四湖、东平湖大堤、南水北调东线工程干渠大堤和所流经其他湖泊大堤内的全部区域，没有大堤的区段以设计洪水位淹没线作为大堤位置；</w:t>
      </w:r>
    </w:p>
    <w:p>
      <w:pPr>
        <w:numPr>
          <w:ilvl w:val="0"/>
          <w:numId w:val="0"/>
        </w:numPr>
        <w:bidi w:val="0"/>
        <w:ind w:firstLine="480" w:firstLineChars="200"/>
        <w:rPr>
          <w:rFonts w:hint="default" w:ascii="Times New Roman" w:hAnsi="Times New Roman" w:cs="Times New Roman"/>
          <w:color w:val="auto"/>
        </w:rPr>
      </w:pPr>
      <w:r>
        <w:rPr>
          <w:rFonts w:hint="default" w:ascii="Times New Roman" w:hAnsi="Times New Roman" w:cs="Times New Roman"/>
          <w:color w:val="auto"/>
        </w:rPr>
        <w:t>重点保护区域：核心保护区域沿汇水支流上溯15km的汇水区域；</w:t>
      </w:r>
    </w:p>
    <w:p>
      <w:pPr>
        <w:numPr>
          <w:ilvl w:val="0"/>
          <w:numId w:val="0"/>
        </w:numPr>
        <w:bidi w:val="0"/>
        <w:ind w:firstLine="480" w:firstLineChars="200"/>
        <w:rPr>
          <w:rFonts w:hint="default" w:ascii="Times New Roman" w:hAnsi="Times New Roman" w:cs="Times New Roman"/>
          <w:color w:val="auto"/>
        </w:rPr>
      </w:pPr>
      <w:r>
        <w:rPr>
          <w:rFonts w:hint="default" w:ascii="Times New Roman" w:hAnsi="Times New Roman" w:cs="Times New Roman"/>
          <w:color w:val="auto"/>
        </w:rPr>
        <w:t>一般保护区域：除核心保护区域和重点保护区域以外的其他调水沿线汇水区域。</w:t>
      </w:r>
    </w:p>
    <w:p>
      <w:pPr>
        <w:numPr>
          <w:ilvl w:val="0"/>
          <w:numId w:val="0"/>
        </w:numPr>
        <w:bidi w:val="0"/>
        <w:ind w:firstLine="480" w:firstLineChars="200"/>
        <w:rPr>
          <w:rFonts w:hint="default" w:ascii="Times New Roman" w:hAnsi="Times New Roman" w:cs="Times New Roman"/>
          <w:color w:val="auto"/>
          <w:lang w:eastAsia="zh-CN"/>
        </w:rPr>
      </w:pPr>
      <w:r>
        <w:rPr>
          <w:rFonts w:hint="default" w:ascii="Times New Roman" w:hAnsi="Times New Roman" w:cs="Times New Roman"/>
          <w:color w:val="auto"/>
        </w:rPr>
        <w:t>本项目距离南四湖、东平湖流域直线距离大于15km（18.3km），依据《南水北调东线工程规划》（修订版），依据《流域水污染物综合排放标准第1部分：南四湖</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东平湖流域》（DB37/3416.1—2018），本项目所在区域属于一般保护区域，所在区域水污染物排放执行《流域水污染物综合排放标准第1部分：南四湖东平湖流域》（DB37/3416.1—2018）中的一般保护区标准要求</w:t>
      </w:r>
      <w:r>
        <w:rPr>
          <w:rFonts w:hint="default" w:ascii="Times New Roman" w:hAnsi="Times New Roman" w:cs="Times New Roman"/>
          <w:color w:val="auto"/>
          <w:lang w:eastAsia="zh-CN"/>
        </w:rPr>
        <w:t>。</w:t>
      </w:r>
    </w:p>
    <w:p>
      <w:pPr>
        <w:numPr>
          <w:ilvl w:val="0"/>
          <w:numId w:val="0"/>
        </w:numPr>
        <w:bidi w:val="0"/>
        <w:ind w:firstLine="480" w:firstLineChars="200"/>
        <w:rPr>
          <w:rFonts w:hint="default" w:ascii="Times New Roman" w:hAnsi="Times New Roman" w:cs="Times New Roman"/>
          <w:color w:val="auto"/>
        </w:rPr>
      </w:pPr>
      <w:r>
        <w:rPr>
          <w:rFonts w:hint="default" w:ascii="Times New Roman" w:hAnsi="Times New Roman" w:cs="Times New Roman"/>
          <w:color w:val="auto"/>
        </w:rPr>
        <w:t>本项目生活废水经化粪池处理后排入开发区污水管网，生产废水排入厂内污水处理站处理后排入开发区污水管网，不会对南水北调东线工程产生影响。该区域为非生态环境敏感地，该范围内人类活动较多，人类烦扰强度较大，据初步调查，项目所在区域不是重点保护野生动物的典型栖息地，无珍稀动植物分布。</w:t>
      </w:r>
    </w:p>
    <w:p>
      <w:pPr>
        <w:pStyle w:val="5"/>
        <w:bidi w:val="0"/>
        <w:rPr>
          <w:rFonts w:hint="default" w:ascii="Times New Roman" w:hAnsi="Times New Roman" w:cs="Times New Roman"/>
          <w:color w:val="auto"/>
        </w:rPr>
      </w:pPr>
      <w:r>
        <w:rPr>
          <w:rFonts w:hint="default" w:ascii="Times New Roman" w:hAnsi="Times New Roman" w:cs="Times New Roman"/>
          <w:color w:val="auto"/>
        </w:rPr>
        <w:t>3.1.3</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环境功能区划</w:t>
      </w:r>
    </w:p>
    <w:p>
      <w:pPr>
        <w:bidi w:val="0"/>
        <w:rPr>
          <w:rFonts w:hint="default" w:ascii="Times New Roman" w:hAnsi="Times New Roman" w:cs="Times New Roman"/>
          <w:color w:val="auto"/>
        </w:rPr>
      </w:pPr>
      <w:bookmarkStart w:id="45" w:name="_Toc444522063"/>
      <w:r>
        <w:rPr>
          <w:rFonts w:hint="default" w:ascii="Times New Roman" w:hAnsi="Times New Roman" w:cs="Times New Roman"/>
          <w:color w:val="auto"/>
        </w:rPr>
        <w:t>项目所在地区的环境功能区划见表3.1-</w:t>
      </w:r>
      <w:r>
        <w:rPr>
          <w:rFonts w:hint="default" w:ascii="Times New Roman" w:hAnsi="Times New Roman" w:cs="Times New Roman"/>
          <w:color w:val="auto"/>
          <w:lang w:val="en-US" w:eastAsia="zh-CN"/>
        </w:rPr>
        <w:t>3</w:t>
      </w:r>
      <w:r>
        <w:rPr>
          <w:rFonts w:hint="default" w:ascii="Times New Roman" w:hAnsi="Times New Roman" w:cs="Times New Roman"/>
          <w:color w:val="auto"/>
        </w:rPr>
        <w:t>。</w:t>
      </w:r>
    </w:p>
    <w:p>
      <w:pPr>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表3.1-3 区域环境功能区划一览表</w:t>
      </w:r>
    </w:p>
    <w:tbl>
      <w:tblPr>
        <w:tblStyle w:val="29"/>
        <w:tblW w:w="917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205"/>
        <w:gridCol w:w="1810"/>
        <w:gridCol w:w="4161"/>
        <w:gridCol w:w="12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707"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1205"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 别</w:t>
            </w:r>
          </w:p>
        </w:tc>
        <w:tc>
          <w:tcPr>
            <w:tcW w:w="1810"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功能区名称</w:t>
            </w:r>
          </w:p>
        </w:tc>
        <w:tc>
          <w:tcPr>
            <w:tcW w:w="4161"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功能区划标准</w:t>
            </w:r>
          </w:p>
        </w:tc>
        <w:tc>
          <w:tcPr>
            <w:tcW w:w="1293"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标准级别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7"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05"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环境空气</w:t>
            </w:r>
          </w:p>
        </w:tc>
        <w:tc>
          <w:tcPr>
            <w:tcW w:w="1810"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区域空气</w:t>
            </w:r>
          </w:p>
        </w:tc>
        <w:tc>
          <w:tcPr>
            <w:tcW w:w="4161"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《环境空气质量标准》</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GB3095-2012</w:t>
            </w:r>
            <w:r>
              <w:rPr>
                <w:rFonts w:hint="default" w:ascii="Times New Roman" w:hAnsi="Times New Roman" w:cs="Times New Roman"/>
                <w:color w:val="auto"/>
                <w:sz w:val="21"/>
                <w:szCs w:val="21"/>
                <w:lang w:eastAsia="zh-CN"/>
              </w:rPr>
              <w:t>)</w:t>
            </w:r>
          </w:p>
        </w:tc>
        <w:tc>
          <w:tcPr>
            <w:tcW w:w="1293"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7"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205"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地表水</w:t>
            </w:r>
          </w:p>
        </w:tc>
        <w:tc>
          <w:tcPr>
            <w:tcW w:w="1810"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跃进河</w:t>
            </w:r>
          </w:p>
        </w:tc>
        <w:tc>
          <w:tcPr>
            <w:tcW w:w="4161"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《地表水环境质量标准》</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GB3838-2002</w:t>
            </w:r>
            <w:r>
              <w:rPr>
                <w:rFonts w:hint="default" w:ascii="Times New Roman" w:hAnsi="Times New Roman" w:cs="Times New Roman"/>
                <w:color w:val="auto"/>
                <w:sz w:val="21"/>
                <w:szCs w:val="21"/>
                <w:lang w:eastAsia="zh-CN"/>
              </w:rPr>
              <w:t>)</w:t>
            </w:r>
          </w:p>
        </w:tc>
        <w:tc>
          <w:tcPr>
            <w:tcW w:w="1293"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Ⅲ类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7"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205"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地下水</w:t>
            </w:r>
          </w:p>
        </w:tc>
        <w:tc>
          <w:tcPr>
            <w:tcW w:w="1810"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厂区周围地下水</w:t>
            </w:r>
          </w:p>
        </w:tc>
        <w:tc>
          <w:tcPr>
            <w:tcW w:w="4161"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《地下水质量标准》</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GB/T14848-2017</w:t>
            </w:r>
            <w:r>
              <w:rPr>
                <w:rFonts w:hint="default" w:ascii="Times New Roman" w:hAnsi="Times New Roman" w:cs="Times New Roman"/>
                <w:color w:val="auto"/>
                <w:sz w:val="21"/>
                <w:szCs w:val="21"/>
                <w:lang w:eastAsia="zh-CN"/>
              </w:rPr>
              <w:t>)</w:t>
            </w:r>
          </w:p>
        </w:tc>
        <w:tc>
          <w:tcPr>
            <w:tcW w:w="1293"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Ⅲ类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07"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1205"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1810"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厂区周围声环境</w:t>
            </w:r>
          </w:p>
        </w:tc>
        <w:tc>
          <w:tcPr>
            <w:tcW w:w="4161"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《声环境质量标准》</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GB3096-2008</w:t>
            </w:r>
            <w:r>
              <w:rPr>
                <w:rFonts w:hint="default" w:ascii="Times New Roman" w:hAnsi="Times New Roman" w:cs="Times New Roman"/>
                <w:color w:val="auto"/>
                <w:sz w:val="21"/>
                <w:szCs w:val="21"/>
                <w:lang w:eastAsia="zh-CN"/>
              </w:rPr>
              <w:t>)</w:t>
            </w:r>
          </w:p>
        </w:tc>
        <w:tc>
          <w:tcPr>
            <w:tcW w:w="1293" w:type="dxa"/>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类</w:t>
            </w:r>
          </w:p>
        </w:tc>
      </w:tr>
    </w:tbl>
    <w:p>
      <w:pPr>
        <w:pStyle w:val="5"/>
        <w:bidi w:val="0"/>
        <w:rPr>
          <w:rFonts w:hint="default" w:ascii="Times New Roman" w:hAnsi="Times New Roman" w:cs="Times New Roman"/>
          <w:color w:val="auto"/>
        </w:rPr>
      </w:pPr>
      <w:r>
        <w:rPr>
          <w:rFonts w:hint="default" w:ascii="Times New Roman" w:hAnsi="Times New Roman" w:cs="Times New Roman"/>
          <w:color w:val="auto"/>
        </w:rPr>
        <w:t>3.1.4环境质量现状</w:t>
      </w:r>
    </w:p>
    <w:p>
      <w:pPr>
        <w:bidi w:val="0"/>
        <w:rPr>
          <w:rFonts w:hint="default" w:ascii="Times New Roman" w:hAnsi="Times New Roman" w:cs="Times New Roman"/>
          <w:color w:val="auto"/>
        </w:rPr>
      </w:pPr>
      <w:r>
        <w:rPr>
          <w:rFonts w:hint="default" w:ascii="Times New Roman" w:hAnsi="Times New Roman" w:cs="Times New Roman"/>
          <w:color w:val="auto"/>
        </w:rPr>
        <w:t>1、环境空气质量现状</w:t>
      </w:r>
    </w:p>
    <w:p>
      <w:pPr>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根据</w:t>
      </w:r>
      <w:r>
        <w:rPr>
          <w:rFonts w:hint="default" w:ascii="Times New Roman" w:hAnsi="Times New Roman" w:cs="Times New Roman"/>
          <w:color w:val="auto"/>
          <w:highlight w:val="none"/>
          <w:lang w:eastAsia="zh-CN"/>
        </w:rPr>
        <w:t>枣庄市环境质量报告（</w:t>
      </w:r>
      <w:r>
        <w:rPr>
          <w:rFonts w:hint="default" w:ascii="Times New Roman" w:hAnsi="Times New Roman" w:cs="Times New Roman"/>
          <w:color w:val="auto"/>
          <w:highlight w:val="none"/>
          <w:lang w:val="en-US" w:eastAsia="zh-CN"/>
        </w:rPr>
        <w:t>2021年</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峄城区</w:t>
      </w:r>
      <w:r>
        <w:rPr>
          <w:rFonts w:hint="default" w:ascii="Times New Roman" w:hAnsi="Times New Roman" w:cs="Times New Roman"/>
          <w:color w:val="auto"/>
          <w:highlight w:val="none"/>
        </w:rPr>
        <w:t>主要大气污染物PM</w:t>
      </w:r>
      <w:r>
        <w:rPr>
          <w:rFonts w:hint="default" w:ascii="Times New Roman" w:hAnsi="Times New Roman" w:cs="Times New Roman"/>
          <w:color w:val="auto"/>
          <w:highlight w:val="none"/>
          <w:vertAlign w:val="subscript"/>
        </w:rPr>
        <w:t>2.5</w:t>
      </w:r>
      <w:r>
        <w:rPr>
          <w:rFonts w:hint="default" w:ascii="Times New Roman" w:hAnsi="Times New Roman" w:cs="Times New Roman"/>
          <w:color w:val="auto"/>
          <w:highlight w:val="none"/>
        </w:rPr>
        <w:t>为</w:t>
      </w:r>
      <w:r>
        <w:rPr>
          <w:rFonts w:hint="default" w:ascii="Times New Roman" w:hAnsi="Times New Roman" w:cs="Times New Roman"/>
          <w:color w:val="auto"/>
          <w:highlight w:val="none"/>
          <w:lang w:val="en-US" w:eastAsia="zh-CN"/>
        </w:rPr>
        <w:t>0.044</w:t>
      </w: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、PM</w:t>
      </w:r>
      <w:r>
        <w:rPr>
          <w:rFonts w:hint="default" w:ascii="Times New Roman" w:hAnsi="Times New Roman" w:cs="Times New Roman"/>
          <w:color w:val="auto"/>
          <w:highlight w:val="none"/>
          <w:vertAlign w:val="subscript"/>
        </w:rPr>
        <w:t>10</w:t>
      </w:r>
      <w:r>
        <w:rPr>
          <w:rFonts w:hint="default" w:ascii="Times New Roman" w:hAnsi="Times New Roman" w:cs="Times New Roman"/>
          <w:color w:val="auto"/>
          <w:highlight w:val="none"/>
        </w:rPr>
        <w:t>为</w:t>
      </w:r>
      <w:r>
        <w:rPr>
          <w:rFonts w:hint="default" w:ascii="Times New Roman" w:hAnsi="Times New Roman" w:cs="Times New Roman"/>
          <w:color w:val="auto"/>
          <w:highlight w:val="none"/>
          <w:lang w:val="en-US" w:eastAsia="zh-CN"/>
        </w:rPr>
        <w:t>0.089</w:t>
      </w: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、SO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为0.0</w:t>
      </w:r>
      <w:r>
        <w:rPr>
          <w:rFonts w:hint="default" w:ascii="Times New Roman" w:hAnsi="Times New Roman" w:cs="Times New Roman"/>
          <w:color w:val="auto"/>
          <w:highlight w:val="none"/>
          <w:lang w:val="en-US" w:eastAsia="zh-CN"/>
        </w:rPr>
        <w:t>12</w:t>
      </w: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、NO</w:t>
      </w:r>
      <w:r>
        <w:rPr>
          <w:rFonts w:hint="default" w:ascii="Times New Roman" w:hAnsi="Times New Roman" w:cs="Times New Roman"/>
          <w:color w:val="auto"/>
          <w:highlight w:val="none"/>
          <w:vertAlign w:val="subscript"/>
        </w:rPr>
        <w:t>2</w:t>
      </w:r>
      <w:r>
        <w:rPr>
          <w:rFonts w:hint="default" w:ascii="Times New Roman" w:hAnsi="Times New Roman" w:cs="Times New Roman"/>
          <w:color w:val="auto"/>
          <w:highlight w:val="none"/>
        </w:rPr>
        <w:t>为0.0</w:t>
      </w:r>
      <w:r>
        <w:rPr>
          <w:rFonts w:hint="default" w:ascii="Times New Roman" w:hAnsi="Times New Roman" w:cs="Times New Roman"/>
          <w:color w:val="auto"/>
          <w:highlight w:val="none"/>
          <w:lang w:val="en-US" w:eastAsia="zh-CN"/>
        </w:rPr>
        <w:t>28</w:t>
      </w: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r>
        <w:rPr>
          <w:rFonts w:hint="default" w:ascii="Times New Roman" w:hAnsi="Times New Roman" w:eastAsia="宋体" w:cs="Times New Roman"/>
          <w:color w:val="auto"/>
          <w:kern w:val="2"/>
          <w:sz w:val="24"/>
          <w:szCs w:val="24"/>
          <w:highlight w:val="none"/>
          <w:lang w:val="en-US" w:eastAsia="zh-CN" w:bidi="ar-SA"/>
        </w:rPr>
        <w:t>2021年峄城区环境空气中 PM</w:t>
      </w:r>
      <w:r>
        <w:rPr>
          <w:rFonts w:hint="default" w:ascii="Times New Roman" w:hAnsi="Times New Roman" w:eastAsia="宋体" w:cs="Times New Roman"/>
          <w:color w:val="auto"/>
          <w:kern w:val="2"/>
          <w:sz w:val="24"/>
          <w:szCs w:val="24"/>
          <w:highlight w:val="none"/>
          <w:vertAlign w:val="subscript"/>
          <w:lang w:val="en-US" w:eastAsia="zh-CN" w:bidi="ar-SA"/>
        </w:rPr>
        <w:t>10</w:t>
      </w:r>
      <w:r>
        <w:rPr>
          <w:rFonts w:hint="default" w:ascii="Times New Roman" w:hAnsi="Times New Roman" w:eastAsia="宋体" w:cs="Times New Roman"/>
          <w:color w:val="auto"/>
          <w:kern w:val="2"/>
          <w:sz w:val="24"/>
          <w:szCs w:val="24"/>
          <w:highlight w:val="none"/>
          <w:lang w:val="en-US" w:eastAsia="zh-CN" w:bidi="ar-SA"/>
        </w:rPr>
        <w:t>、PM</w:t>
      </w:r>
      <w:r>
        <w:rPr>
          <w:rFonts w:hint="default" w:ascii="Times New Roman" w:hAnsi="Times New Roman" w:eastAsia="宋体" w:cs="Times New Roman"/>
          <w:color w:val="auto"/>
          <w:kern w:val="2"/>
          <w:sz w:val="24"/>
          <w:szCs w:val="24"/>
          <w:highlight w:val="none"/>
          <w:vertAlign w:val="subscript"/>
          <w:lang w:val="en-US" w:eastAsia="zh-CN" w:bidi="ar-SA"/>
        </w:rPr>
        <w:t>2.5</w:t>
      </w:r>
      <w:r>
        <w:rPr>
          <w:rFonts w:hint="default" w:ascii="Times New Roman" w:hAnsi="Times New Roman" w:eastAsia="宋体" w:cs="Times New Roman"/>
          <w:color w:val="auto"/>
          <w:kern w:val="2"/>
          <w:sz w:val="24"/>
          <w:szCs w:val="24"/>
          <w:highlight w:val="none"/>
          <w:lang w:val="en-US" w:eastAsia="zh-CN" w:bidi="ar-SA"/>
        </w:rPr>
        <w:t xml:space="preserve"> 年均值不能满足《环境空气质量标准》（GB3095-2012）中二级标准浓度限值，超标倍数分别 为0.27倍和0.26倍，PM</w:t>
      </w:r>
      <w:r>
        <w:rPr>
          <w:rFonts w:hint="default" w:ascii="Times New Roman" w:hAnsi="Times New Roman" w:eastAsia="宋体" w:cs="Times New Roman"/>
          <w:color w:val="auto"/>
          <w:kern w:val="2"/>
          <w:sz w:val="24"/>
          <w:szCs w:val="24"/>
          <w:highlight w:val="none"/>
          <w:vertAlign w:val="subscript"/>
          <w:lang w:val="en-US" w:eastAsia="zh-CN" w:bidi="ar-SA"/>
        </w:rPr>
        <w:t>10</w:t>
      </w:r>
      <w:r>
        <w:rPr>
          <w:rFonts w:hint="default" w:ascii="Times New Roman" w:hAnsi="Times New Roman" w:eastAsia="宋体" w:cs="Times New Roman"/>
          <w:color w:val="auto"/>
          <w:kern w:val="2"/>
          <w:sz w:val="24"/>
          <w:szCs w:val="24"/>
          <w:highlight w:val="none"/>
          <w:lang w:val="en-US" w:eastAsia="zh-CN" w:bidi="ar-SA"/>
        </w:rPr>
        <w:t>超标主要是因为北方地区气候干燥，地面扬尘引起的</w:t>
      </w:r>
      <w:r>
        <w:rPr>
          <w:rFonts w:hint="default" w:ascii="Times New Roman" w:hAnsi="Times New Roman" w:cs="Times New Roman"/>
          <w:color w:val="auto"/>
          <w:highlight w:val="none"/>
        </w:rPr>
        <w:t>。</w:t>
      </w:r>
    </w:p>
    <w:p>
      <w:pPr>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2、地表水环境质量现状</w:t>
      </w:r>
    </w:p>
    <w:p>
      <w:pPr>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根据</w:t>
      </w:r>
      <w:r>
        <w:rPr>
          <w:rFonts w:hint="default" w:ascii="Times New Roman" w:hAnsi="Times New Roman" w:cs="Times New Roman"/>
          <w:color w:val="auto"/>
          <w:highlight w:val="none"/>
          <w:lang w:eastAsia="zh-CN"/>
        </w:rPr>
        <w:t>枣庄市环境质量报告（</w:t>
      </w:r>
      <w:r>
        <w:rPr>
          <w:rFonts w:hint="default" w:ascii="Times New Roman" w:hAnsi="Times New Roman" w:cs="Times New Roman"/>
          <w:color w:val="auto"/>
          <w:highlight w:val="none"/>
          <w:lang w:val="en-US" w:eastAsia="zh-CN"/>
        </w:rPr>
        <w:t>2021年</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峄城</w:t>
      </w:r>
      <w:r>
        <w:rPr>
          <w:rFonts w:hint="default" w:ascii="Times New Roman" w:hAnsi="Times New Roman" w:cs="Times New Roman"/>
          <w:color w:val="FF0000"/>
          <w:sz w:val="24"/>
          <w:szCs w:val="32"/>
          <w:highlight w:val="none"/>
          <w:lang w:val="en-US" w:eastAsia="zh-CN"/>
        </w:rPr>
        <w:t>贾庄闸</w:t>
      </w:r>
      <w:r>
        <w:rPr>
          <w:rFonts w:hint="default" w:ascii="Times New Roman" w:hAnsi="Times New Roman" w:cs="Times New Roman"/>
          <w:sz w:val="24"/>
          <w:highlight w:val="none"/>
        </w:rPr>
        <w:t>断面总氮超标，其它各项指标均能达到《地表水环境质量标准》（GB3838-2002）中Ⅲ类标准要求，分析超标原因：总氮超标源于上游来水氮含量高于本段水质类型、氮肥流失，通过地表径流汇入河流等</w:t>
      </w:r>
      <w:r>
        <w:rPr>
          <w:rFonts w:hint="default" w:ascii="Times New Roman" w:hAnsi="Times New Roman" w:cs="Times New Roman"/>
          <w:color w:val="auto"/>
          <w:highlight w:val="none"/>
        </w:rPr>
        <w:t>。</w:t>
      </w:r>
    </w:p>
    <w:p>
      <w:pPr>
        <w:bidi w:val="0"/>
        <w:rPr>
          <w:rFonts w:hint="default" w:ascii="Times New Roman" w:hAnsi="Times New Roman" w:cs="Times New Roman"/>
          <w:color w:val="auto"/>
        </w:rPr>
      </w:pPr>
      <w:r>
        <w:rPr>
          <w:rFonts w:hint="default" w:ascii="Times New Roman" w:hAnsi="Times New Roman" w:cs="Times New Roman"/>
          <w:color w:val="auto"/>
        </w:rPr>
        <w:t>3、地下水环境质量现状</w:t>
      </w:r>
    </w:p>
    <w:p>
      <w:pPr>
        <w:bidi w:val="0"/>
        <w:rPr>
          <w:rFonts w:hint="default" w:ascii="Times New Roman" w:hAnsi="Times New Roman" w:cs="Times New Roman"/>
          <w:color w:val="auto"/>
        </w:rPr>
      </w:pPr>
      <w:r>
        <w:rPr>
          <w:rFonts w:hint="default" w:ascii="Times New Roman" w:hAnsi="Times New Roman" w:eastAsia="宋体" w:cs="Times New Roman"/>
          <w:snapToGrid w:val="0"/>
          <w:color w:val="auto"/>
          <w:kern w:val="0"/>
          <w:sz w:val="24"/>
          <w:szCs w:val="24"/>
        </w:rPr>
        <w:t>根据《枣庄市环境质量报告》（202</w:t>
      </w:r>
      <w:r>
        <w:rPr>
          <w:rFonts w:hint="default" w:ascii="Times New Roman" w:hAnsi="Times New Roman" w:eastAsia="宋体" w:cs="Times New Roman"/>
          <w:snapToGrid w:val="0"/>
          <w:color w:val="auto"/>
          <w:kern w:val="0"/>
          <w:sz w:val="24"/>
          <w:szCs w:val="24"/>
          <w:lang w:val="en-US" w:eastAsia="zh-CN"/>
        </w:rPr>
        <w:t>1</w:t>
      </w:r>
      <w:r>
        <w:rPr>
          <w:rFonts w:hint="default" w:ascii="Times New Roman" w:hAnsi="Times New Roman" w:eastAsia="宋体" w:cs="Times New Roman"/>
          <w:snapToGrid w:val="0"/>
          <w:color w:val="auto"/>
          <w:kern w:val="0"/>
          <w:sz w:val="24"/>
          <w:szCs w:val="24"/>
        </w:rPr>
        <w:t>年简本）</w:t>
      </w:r>
      <w:r>
        <w:rPr>
          <w:rFonts w:hint="default" w:ascii="Times New Roman" w:hAnsi="Times New Roman" w:eastAsia="宋体" w:cs="Times New Roman"/>
          <w:snapToGrid w:val="0"/>
          <w:color w:val="auto"/>
          <w:kern w:val="0"/>
          <w:sz w:val="24"/>
          <w:szCs w:val="24"/>
          <w:lang w:val="zh-CN"/>
        </w:rPr>
        <w:t>，</w:t>
      </w:r>
      <w:r>
        <w:rPr>
          <w:rFonts w:hint="default" w:ascii="Times New Roman" w:hAnsi="Times New Roman" w:cs="Times New Roman"/>
        </w:rPr>
        <w:t>三里庄水源总硬度超标，其余监测项目均符合《地下水质量标准》（GB/T 14848-2017）中Ⅲ类水质标准要求</w:t>
      </w:r>
      <w:r>
        <w:rPr>
          <w:rFonts w:hint="default" w:ascii="Times New Roman" w:hAnsi="Times New Roman" w:cs="Times New Roman"/>
          <w:color w:val="auto"/>
        </w:rPr>
        <w:t>。</w:t>
      </w:r>
    </w:p>
    <w:p>
      <w:pPr>
        <w:bidi w:val="0"/>
        <w:rPr>
          <w:rFonts w:hint="default" w:ascii="Times New Roman" w:hAnsi="Times New Roman" w:cs="Times New Roman"/>
          <w:color w:val="auto"/>
        </w:rPr>
      </w:pPr>
      <w:r>
        <w:rPr>
          <w:rFonts w:hint="default" w:ascii="Times New Roman" w:hAnsi="Times New Roman" w:cs="Times New Roman"/>
          <w:color w:val="auto"/>
        </w:rPr>
        <w:t>4、声环境质量现状</w:t>
      </w:r>
    </w:p>
    <w:p>
      <w:pPr>
        <w:bidi w:val="0"/>
        <w:rPr>
          <w:rFonts w:hint="default" w:ascii="Times New Roman" w:hAnsi="Times New Roman" w:cs="Times New Roman"/>
          <w:color w:val="auto"/>
        </w:rPr>
      </w:pPr>
      <w:r>
        <w:rPr>
          <w:rFonts w:hint="default" w:ascii="Times New Roman" w:hAnsi="Times New Roman" w:eastAsia="宋体" w:cs="Times New Roman"/>
          <w:snapToGrid w:val="0"/>
          <w:color w:val="auto"/>
          <w:kern w:val="0"/>
          <w:sz w:val="24"/>
          <w:szCs w:val="24"/>
        </w:rPr>
        <w:t>根据《枣庄市环境质量报告》（202</w:t>
      </w:r>
      <w:r>
        <w:rPr>
          <w:rFonts w:hint="default" w:ascii="Times New Roman" w:hAnsi="Times New Roman" w:eastAsia="宋体" w:cs="Times New Roman"/>
          <w:snapToGrid w:val="0"/>
          <w:color w:val="auto"/>
          <w:kern w:val="0"/>
          <w:sz w:val="24"/>
          <w:szCs w:val="24"/>
          <w:lang w:val="en-US" w:eastAsia="zh-CN"/>
        </w:rPr>
        <w:t>1</w:t>
      </w:r>
      <w:r>
        <w:rPr>
          <w:rFonts w:hint="default" w:ascii="Times New Roman" w:hAnsi="Times New Roman" w:eastAsia="宋体" w:cs="Times New Roman"/>
          <w:snapToGrid w:val="0"/>
          <w:color w:val="auto"/>
          <w:kern w:val="0"/>
          <w:sz w:val="24"/>
          <w:szCs w:val="24"/>
        </w:rPr>
        <w:t>年简本）</w:t>
      </w:r>
      <w:r>
        <w:rPr>
          <w:rFonts w:hint="default" w:ascii="Times New Roman" w:hAnsi="Times New Roman" w:eastAsia="宋体" w:cs="Times New Roman"/>
          <w:snapToGrid w:val="0"/>
          <w:color w:val="auto"/>
          <w:kern w:val="0"/>
          <w:sz w:val="24"/>
          <w:szCs w:val="24"/>
          <w:lang w:val="zh-CN"/>
        </w:rPr>
        <w:t>，峄城区功能区噪声昼间均值为53.8分贝，夜间均值为48.4分贝，其中1类功能区枣庄市福利院夜间噪声超标，其余各功能区均</w:t>
      </w:r>
      <w:r>
        <w:rPr>
          <w:rFonts w:hint="default" w:ascii="Times New Roman" w:hAnsi="Times New Roman" w:cs="Times New Roman"/>
          <w:color w:val="auto"/>
        </w:rPr>
        <w:t>满足《声环境质量标准》</w:t>
      </w:r>
      <w:r>
        <w:rPr>
          <w:rFonts w:hint="default" w:ascii="Times New Roman" w:hAnsi="Times New Roman" w:cs="Times New Roman"/>
          <w:color w:val="auto"/>
          <w:lang w:eastAsia="zh-CN"/>
        </w:rPr>
        <w:t>(</w:t>
      </w:r>
      <w:r>
        <w:rPr>
          <w:rFonts w:hint="default" w:ascii="Times New Roman" w:hAnsi="Times New Roman" w:cs="Times New Roman"/>
          <w:color w:val="auto"/>
        </w:rPr>
        <w:t>GB3096-2008</w:t>
      </w:r>
      <w:r>
        <w:rPr>
          <w:rFonts w:hint="default" w:ascii="Times New Roman" w:hAnsi="Times New Roman" w:cs="Times New Roman"/>
          <w:color w:val="auto"/>
          <w:lang w:eastAsia="zh-CN"/>
        </w:rPr>
        <w:t>)</w:t>
      </w:r>
      <w:r>
        <w:rPr>
          <w:rFonts w:hint="default" w:ascii="Times New Roman" w:hAnsi="Times New Roman" w:cs="Times New Roman"/>
          <w:color w:val="auto"/>
        </w:rPr>
        <w:t>的</w:t>
      </w:r>
      <w:r>
        <w:rPr>
          <w:rFonts w:hint="default" w:ascii="Times New Roman" w:hAnsi="Times New Roman" w:cs="Times New Roman"/>
          <w:color w:val="auto"/>
          <w:lang w:val="en-US" w:eastAsia="zh-CN"/>
        </w:rPr>
        <w:t>2</w:t>
      </w:r>
      <w:r>
        <w:rPr>
          <w:rFonts w:hint="default" w:ascii="Times New Roman" w:hAnsi="Times New Roman" w:cs="Times New Roman"/>
          <w:color w:val="auto"/>
        </w:rPr>
        <w:t>类区标准要求。</w:t>
      </w:r>
    </w:p>
    <w:p>
      <w:pPr>
        <w:pStyle w:val="4"/>
        <w:bidi w:val="0"/>
        <w:rPr>
          <w:rFonts w:hint="default" w:ascii="Times New Roman" w:hAnsi="Times New Roman" w:cs="Times New Roman"/>
          <w:color w:val="auto"/>
        </w:rPr>
      </w:pPr>
      <w:bookmarkStart w:id="46" w:name="_Toc14838"/>
      <w:bookmarkStart w:id="47" w:name="_Toc26574"/>
      <w:r>
        <w:rPr>
          <w:rFonts w:hint="default" w:ascii="Times New Roman" w:hAnsi="Times New Roman" w:cs="Times New Roman"/>
          <w:color w:val="auto"/>
        </w:rPr>
        <w:t>3.2 企业周边环境风险受体情况</w:t>
      </w:r>
      <w:bookmarkEnd w:id="45"/>
      <w:bookmarkEnd w:id="46"/>
      <w:bookmarkEnd w:id="47"/>
    </w:p>
    <w:p>
      <w:pPr>
        <w:bidi w:val="0"/>
        <w:rPr>
          <w:rFonts w:hint="default" w:ascii="Times New Roman" w:hAnsi="Times New Roman" w:cs="Times New Roman"/>
        </w:rPr>
      </w:pPr>
      <w:bookmarkStart w:id="48" w:name="_Hlk492734684"/>
      <w:r>
        <w:rPr>
          <w:rFonts w:hint="default" w:ascii="Times New Roman" w:hAnsi="Times New Roman" w:cs="Times New Roman"/>
          <w:lang w:eastAsia="zh-CN"/>
        </w:rPr>
        <w:t>山东省润泰新材料有限公司</w:t>
      </w:r>
      <w:r>
        <w:rPr>
          <w:rFonts w:hint="default" w:ascii="Times New Roman" w:hAnsi="Times New Roman" w:cs="Times New Roman"/>
        </w:rPr>
        <w:t>位于</w:t>
      </w:r>
      <w:r>
        <w:rPr>
          <w:rFonts w:hint="default" w:ascii="Times New Roman" w:hAnsi="Times New Roman" w:cs="Times New Roman"/>
          <w:lang w:eastAsia="zh-CN"/>
        </w:rPr>
        <w:t>枣庄市峄城区峨山镇峄城化工产业园，</w:t>
      </w:r>
      <w:r>
        <w:rPr>
          <w:rFonts w:hint="default" w:ascii="Times New Roman" w:hAnsi="Times New Roman" w:cs="Times New Roman"/>
        </w:rPr>
        <w:t>所在区域交通条件便利，基础设施配套齐全。公司周边</w:t>
      </w:r>
      <w:r>
        <w:rPr>
          <w:rFonts w:hint="default" w:ascii="Times New Roman" w:hAnsi="Times New Roman" w:cs="Times New Roman"/>
          <w:lang w:val="en-US" w:eastAsia="zh-CN"/>
        </w:rPr>
        <w:t>5</w:t>
      </w:r>
      <w:r>
        <w:rPr>
          <w:rFonts w:hint="default" w:ascii="Times New Roman" w:hAnsi="Times New Roman" w:cs="Times New Roman"/>
        </w:rPr>
        <w:t>km范围内主要环境敏感目标为村庄，无自然保护区等敏感区域分布。</w:t>
      </w:r>
      <w:bookmarkEnd w:id="48"/>
    </w:p>
    <w:p>
      <w:pPr>
        <w:bidi w:val="0"/>
        <w:rPr>
          <w:rFonts w:hint="default" w:ascii="Times New Roman" w:hAnsi="Times New Roman" w:cs="Times New Roman"/>
          <w:lang w:eastAsia="zh-CN"/>
        </w:rPr>
      </w:pPr>
      <w:r>
        <w:rPr>
          <w:rFonts w:hint="default" w:ascii="Times New Roman" w:hAnsi="Times New Roman" w:cs="Times New Roman"/>
          <w:lang w:eastAsia="zh-CN"/>
        </w:rPr>
        <w:t>（</w:t>
      </w:r>
      <w:r>
        <w:rPr>
          <w:rFonts w:hint="default" w:ascii="Times New Roman" w:hAnsi="Times New Roman" w:cs="Times New Roman"/>
          <w:lang w:val="en-US" w:eastAsia="zh-CN"/>
        </w:rPr>
        <w:t>1</w:t>
      </w:r>
      <w:r>
        <w:rPr>
          <w:rFonts w:hint="default" w:ascii="Times New Roman" w:hAnsi="Times New Roman" w:cs="Times New Roman"/>
          <w:lang w:eastAsia="zh-CN"/>
        </w:rPr>
        <w:t>）环境空气</w:t>
      </w:r>
    </w:p>
    <w:p>
      <w:pPr>
        <w:bidi w:val="0"/>
        <w:rPr>
          <w:rFonts w:hint="default" w:ascii="Times New Roman" w:hAnsi="Times New Roman" w:cs="Times New Roman"/>
          <w:color w:val="auto"/>
        </w:rPr>
      </w:pPr>
      <w:r>
        <w:rPr>
          <w:rFonts w:hint="default" w:ascii="Times New Roman" w:hAnsi="Times New Roman" w:cs="Times New Roman"/>
          <w:color w:val="auto"/>
          <w:highlight w:val="none"/>
        </w:rPr>
        <w:t>企业周边环境风险受体见表</w:t>
      </w:r>
      <w:r>
        <w:rPr>
          <w:rFonts w:hint="default" w:ascii="Times New Roman" w:hAnsi="Times New Roman" w:cs="Times New Roman"/>
          <w:color w:val="auto"/>
          <w:lang w:eastAsia="zh-CN"/>
        </w:rPr>
        <w:t>3.2-</w:t>
      </w:r>
      <w:r>
        <w:rPr>
          <w:rFonts w:hint="default" w:ascii="Times New Roman" w:hAnsi="Times New Roman" w:cs="Times New Roman"/>
          <w:color w:val="auto"/>
        </w:rPr>
        <w:t>1，具体见附图2风险受体分布图。</w:t>
      </w:r>
    </w:p>
    <w:p>
      <w:pPr>
        <w:bidi w:val="0"/>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表3.2-1  企业周边环境风险受体情况一览表</w:t>
      </w:r>
    </w:p>
    <w:tbl>
      <w:tblPr>
        <w:tblStyle w:val="29"/>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73"/>
        <w:gridCol w:w="1920"/>
        <w:gridCol w:w="1871"/>
        <w:gridCol w:w="2515"/>
        <w:gridCol w:w="163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序号</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名称</w:t>
            </w:r>
          </w:p>
        </w:tc>
        <w:tc>
          <w:tcPr>
            <w:tcW w:w="1026" w:type="pct"/>
            <w:tcBorders>
              <w:tl2br w:val="nil"/>
              <w:tr2bl w:val="nil"/>
            </w:tcBorders>
            <w:noWrap w:val="0"/>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方位</w:t>
            </w:r>
          </w:p>
        </w:tc>
        <w:tc>
          <w:tcPr>
            <w:tcW w:w="1379" w:type="pct"/>
            <w:tcBorders>
              <w:tl2br w:val="nil"/>
              <w:tr2bl w:val="nil"/>
            </w:tcBorders>
            <w:noWrap w:val="0"/>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距厂界距离(m)</w:t>
            </w:r>
          </w:p>
        </w:tc>
        <w:tc>
          <w:tcPr>
            <w:tcW w:w="895" w:type="pct"/>
            <w:tcBorders>
              <w:tl2br w:val="nil"/>
              <w:tr2bl w:val="nil"/>
            </w:tcBorders>
            <w:noWrap w:val="0"/>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人口(人)</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黄庄</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730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379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张庄</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850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575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贾楼</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970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345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晏庄</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985</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954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小寨子</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1370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1056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6</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各大布</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SSE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1410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486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姚庄</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SSE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1500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后山头</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1830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1010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西大寨</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1880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516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10</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冯岭</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1930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968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11</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前山头</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2030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723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12</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东大寨</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NNE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2080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579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13</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三山</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ESE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2130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546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14</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古林</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2460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549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15</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周官庄</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2530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1416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16</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黄山屯</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2560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495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17</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前岳城</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2610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435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18</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吴山</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2840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354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19</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艾庄</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NEN</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3080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865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峨山镇驻地</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3100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1623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21</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倪塘</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WSW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3110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392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22</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城三</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3130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387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23</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城二</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3150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24</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望夫台</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SSE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3180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806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25</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杨堡</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3260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1402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26</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城四</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3260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235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27</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城一</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3280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356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28</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伏东村</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3320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195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29</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邱庄</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3330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813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30</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伏西村</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NNW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3340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233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31</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蒋家庄</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3450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423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32</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孙庄</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WSW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3510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318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33</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卜东店</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3780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984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34</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薄拉林</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WSW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3800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234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35</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徐山口</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3850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135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36</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西横沟崖</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3880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542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37</w:t>
            </w:r>
          </w:p>
        </w:tc>
        <w:tc>
          <w:tcPr>
            <w:tcW w:w="1053" w:type="pct"/>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东任庄</w:t>
            </w:r>
          </w:p>
        </w:tc>
        <w:tc>
          <w:tcPr>
            <w:tcW w:w="1026" w:type="pct"/>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WSW</w:t>
            </w:r>
          </w:p>
        </w:tc>
        <w:tc>
          <w:tcPr>
            <w:tcW w:w="1379" w:type="pct"/>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3900</w:t>
            </w:r>
          </w:p>
        </w:tc>
        <w:tc>
          <w:tcPr>
            <w:tcW w:w="895" w:type="pct"/>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867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38</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新兴镇驻地</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NE</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3900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1580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39</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石佛寺</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SSW</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3980</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185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40</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友期庄</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SE</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4050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862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41</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郭楼</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4110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512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42</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罗藤</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4150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959</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43</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魏楼</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SSW</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4160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264</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44</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王家楼</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NNE</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4220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425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45</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插柳口村</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ESE</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4320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46</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小郭庄</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SE</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4370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755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47</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张屋村</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NE</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44</w:t>
            </w:r>
            <w:r>
              <w:rPr>
                <w:rFonts w:hint="default" w:ascii="Times New Roman" w:hAnsi="Times New Roman" w:cs="Times New Roman"/>
                <w:lang w:val="en-US" w:eastAsia="zh-CN"/>
              </w:rPr>
              <w:t>60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540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48</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齐圩子村</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4600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49</w:t>
            </w:r>
          </w:p>
        </w:tc>
        <w:tc>
          <w:tcPr>
            <w:tcW w:w="1920"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运埠屯</w:t>
            </w:r>
          </w:p>
        </w:tc>
        <w:tc>
          <w:tcPr>
            <w:tcW w:w="1871"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SSW</w:t>
            </w:r>
          </w:p>
        </w:tc>
        <w:tc>
          <w:tcPr>
            <w:tcW w:w="2515"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4690</w:t>
            </w:r>
          </w:p>
        </w:tc>
        <w:tc>
          <w:tcPr>
            <w:tcW w:w="1633"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1615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50</w:t>
            </w:r>
          </w:p>
        </w:tc>
        <w:tc>
          <w:tcPr>
            <w:tcW w:w="1920"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苏官庄村</w:t>
            </w:r>
          </w:p>
        </w:tc>
        <w:tc>
          <w:tcPr>
            <w:tcW w:w="1871"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NE</w:t>
            </w:r>
          </w:p>
        </w:tc>
        <w:tc>
          <w:tcPr>
            <w:tcW w:w="2515"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4760</w:t>
            </w:r>
          </w:p>
        </w:tc>
        <w:tc>
          <w:tcPr>
            <w:tcW w:w="1633"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1210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51</w:t>
            </w:r>
          </w:p>
        </w:tc>
        <w:tc>
          <w:tcPr>
            <w:tcW w:w="1920"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朱官庄</w:t>
            </w:r>
          </w:p>
        </w:tc>
        <w:tc>
          <w:tcPr>
            <w:tcW w:w="1871"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SE</w:t>
            </w:r>
          </w:p>
        </w:tc>
        <w:tc>
          <w:tcPr>
            <w:tcW w:w="2515"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4800</w:t>
            </w:r>
          </w:p>
        </w:tc>
        <w:tc>
          <w:tcPr>
            <w:tcW w:w="1633"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52</w:t>
            </w:r>
          </w:p>
        </w:tc>
        <w:tc>
          <w:tcPr>
            <w:tcW w:w="1920"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马楼</w:t>
            </w:r>
          </w:p>
        </w:tc>
        <w:tc>
          <w:tcPr>
            <w:tcW w:w="1871"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NW</w:t>
            </w:r>
          </w:p>
        </w:tc>
        <w:tc>
          <w:tcPr>
            <w:tcW w:w="2515"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4860</w:t>
            </w:r>
          </w:p>
        </w:tc>
        <w:tc>
          <w:tcPr>
            <w:tcW w:w="1633" w:type="dxa"/>
            <w:tcBorders>
              <w:tl2br w:val="nil"/>
              <w:tr2bl w:val="nil"/>
            </w:tcBorders>
            <w:noWrap/>
            <w:vAlign w:val="center"/>
          </w:tcPr>
          <w:p>
            <w:pPr>
              <w:pStyle w:val="35"/>
              <w:bidi w:val="0"/>
              <w:ind w:firstLine="0" w:firstLineChars="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645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53</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木山村</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NE</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4900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1035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54</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徐庄村</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SE</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4920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650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55</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前利增</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N</w:t>
            </w:r>
            <w:r>
              <w:rPr>
                <w:rFonts w:hint="default" w:ascii="Times New Roman" w:hAnsi="Times New Roman" w:eastAsia="宋体" w:cs="Times New Roman"/>
                <w:lang w:val="en-US" w:eastAsia="zh-CN"/>
              </w:rPr>
              <w:t>W</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4940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480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56</w:t>
            </w:r>
          </w:p>
        </w:tc>
        <w:tc>
          <w:tcPr>
            <w:tcW w:w="1920"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圈里村</w:t>
            </w:r>
          </w:p>
        </w:tc>
        <w:tc>
          <w:tcPr>
            <w:tcW w:w="1871"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SW</w:t>
            </w:r>
          </w:p>
        </w:tc>
        <w:tc>
          <w:tcPr>
            <w:tcW w:w="2515"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4950</w:t>
            </w:r>
          </w:p>
        </w:tc>
        <w:tc>
          <w:tcPr>
            <w:tcW w:w="1633" w:type="dxa"/>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680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44"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合计</w:t>
            </w:r>
          </w:p>
        </w:tc>
        <w:tc>
          <w:tcPr>
            <w:tcW w:w="1053"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c>
          <w:tcPr>
            <w:tcW w:w="1026"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c>
          <w:tcPr>
            <w:tcW w:w="1379"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c>
          <w:tcPr>
            <w:tcW w:w="895" w:type="pct"/>
            <w:tcBorders>
              <w:tl2br w:val="nil"/>
              <w:tr2bl w:val="nil"/>
            </w:tcBorders>
            <w:noWrap/>
            <w:vAlign w:val="center"/>
          </w:tcPr>
          <w:p>
            <w:pPr>
              <w:pStyle w:val="35"/>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37943</w:t>
            </w:r>
          </w:p>
        </w:tc>
      </w:tr>
    </w:tbl>
    <w:p>
      <w:pPr>
        <w:spacing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cs="Times New Roman"/>
          <w:lang w:eastAsia="zh-CN"/>
        </w:rPr>
        <w:t>（</w:t>
      </w:r>
      <w:r>
        <w:rPr>
          <w:rFonts w:hint="default" w:ascii="Times New Roman" w:hAnsi="Times New Roman" w:cs="Times New Roman"/>
          <w:lang w:val="en-US" w:eastAsia="zh-CN"/>
        </w:rPr>
        <w:t>2</w:t>
      </w:r>
      <w:r>
        <w:rPr>
          <w:rFonts w:hint="default" w:ascii="Times New Roman" w:hAnsi="Times New Roman" w:cs="Times New Roman"/>
          <w:lang w:eastAsia="zh-CN"/>
        </w:rPr>
        <w:t>）</w:t>
      </w:r>
      <w:r>
        <w:rPr>
          <w:rFonts w:hint="default" w:ascii="Times New Roman" w:hAnsi="Times New Roman" w:cs="Times New Roman"/>
          <w:sz w:val="24"/>
          <w:lang w:val="zh-CN"/>
        </w:rPr>
        <w:t>地表水</w:t>
      </w:r>
      <w:r>
        <w:rPr>
          <w:rFonts w:hint="default" w:ascii="Times New Roman" w:hAnsi="Times New Roman" w:cs="Times New Roman"/>
          <w:sz w:val="24"/>
          <w:lang w:val="en-US" w:eastAsia="zh-CN"/>
        </w:rPr>
        <w:t>环境</w:t>
      </w:r>
    </w:p>
    <w:p>
      <w:pPr>
        <w:bidi w:val="0"/>
        <w:rPr>
          <w:rFonts w:hint="default" w:ascii="Times New Roman" w:hAnsi="Times New Roman" w:cs="Times New Roman"/>
          <w:lang w:val="en-US" w:eastAsia="zh-CN"/>
        </w:rPr>
      </w:pPr>
      <w:r>
        <w:rPr>
          <w:rFonts w:hint="default" w:ascii="Times New Roman" w:hAnsi="Times New Roman" w:cs="Times New Roman"/>
          <w:lang w:eastAsia="zh-CN"/>
        </w:rPr>
        <w:t>一期项目生产</w:t>
      </w:r>
      <w:r>
        <w:rPr>
          <w:rFonts w:hint="default" w:ascii="Times New Roman" w:hAnsi="Times New Roman" w:cs="Times New Roman"/>
        </w:rPr>
        <w:t>废水</w:t>
      </w:r>
      <w:r>
        <w:rPr>
          <w:rFonts w:hint="default" w:ascii="Times New Roman" w:hAnsi="Times New Roman" w:cs="Times New Roman"/>
          <w:lang w:eastAsia="zh-CN"/>
        </w:rPr>
        <w:t>经厂区污水处理站处理后，</w:t>
      </w:r>
      <w:r>
        <w:rPr>
          <w:rFonts w:hint="default" w:ascii="Times New Roman" w:hAnsi="Times New Roman" w:cs="Times New Roman"/>
        </w:rPr>
        <w:t>排入园区污水处理厂处理，然后经拉沟河进入新沟河，最终汇入陶沟河。</w:t>
      </w:r>
      <w:r>
        <w:rPr>
          <w:rFonts w:hint="default" w:ascii="Times New Roman" w:hAnsi="Times New Roman" w:cs="Times New Roman"/>
          <w:lang w:val="en-US" w:eastAsia="zh-CN"/>
        </w:rPr>
        <w:t>厂区涉及的地表水体为拉沟河、新沟河。水环境风险敏感保护目标详见表3.2-2。</w:t>
      </w:r>
    </w:p>
    <w:p>
      <w:pPr>
        <w:spacing w:line="360" w:lineRule="auto"/>
        <w:jc w:val="center"/>
        <w:rPr>
          <w:rFonts w:hint="default" w:ascii="Times New Roman" w:hAnsi="Times New Roman" w:eastAsia="黑体" w:cs="Times New Roman"/>
          <w:color w:val="auto"/>
          <w:sz w:val="24"/>
          <w:szCs w:val="24"/>
          <w:lang w:val="en-US" w:eastAsia="zh-CN"/>
        </w:rPr>
      </w:pPr>
      <w:r>
        <w:rPr>
          <w:rFonts w:hint="default" w:ascii="Times New Roman" w:hAnsi="Times New Roman" w:eastAsia="黑体" w:cs="Times New Roman"/>
          <w:color w:val="auto"/>
          <w:sz w:val="24"/>
          <w:szCs w:val="24"/>
          <w:lang w:val="en-US" w:eastAsia="zh-CN"/>
        </w:rPr>
        <w:t>表3.2-2 水环境风险敏感目标保护一览表</w:t>
      </w:r>
    </w:p>
    <w:tbl>
      <w:tblPr>
        <w:tblStyle w:val="29"/>
        <w:tblW w:w="510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890"/>
        <w:gridCol w:w="730"/>
        <w:gridCol w:w="2481"/>
        <w:gridCol w:w="1416"/>
        <w:gridCol w:w="1416"/>
        <w:gridCol w:w="21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41" w:hRule="atLeast"/>
        </w:trPr>
        <w:tc>
          <w:tcPr>
            <w:tcW w:w="489" w:type="pc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类别</w:t>
            </w:r>
          </w:p>
        </w:tc>
        <w:tc>
          <w:tcPr>
            <w:tcW w:w="401" w:type="pc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序号</w:t>
            </w:r>
          </w:p>
        </w:tc>
        <w:tc>
          <w:tcPr>
            <w:tcW w:w="1363" w:type="pc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目标名称</w:t>
            </w:r>
          </w:p>
        </w:tc>
        <w:tc>
          <w:tcPr>
            <w:tcW w:w="778" w:type="pc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相对方位</w:t>
            </w:r>
          </w:p>
        </w:tc>
        <w:tc>
          <w:tcPr>
            <w:tcW w:w="778" w:type="pc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距离</w:t>
            </w:r>
          </w:p>
        </w:tc>
        <w:tc>
          <w:tcPr>
            <w:tcW w:w="1188" w:type="pc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保护对象及保护等级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489" w:type="pct"/>
            <w:vMerge w:val="restar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地表水</w:t>
            </w:r>
          </w:p>
        </w:tc>
        <w:tc>
          <w:tcPr>
            <w:tcW w:w="401" w:type="pc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w:t>
            </w:r>
          </w:p>
        </w:tc>
        <w:tc>
          <w:tcPr>
            <w:tcW w:w="136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tLeast"/>
              <w:ind w:left="0" w:leftChars="0" w:firstLine="0" w:firstLineChars="0"/>
              <w:jc w:val="center"/>
              <w:textAlignment w:val="auto"/>
              <w:rPr>
                <w:rFonts w:hint="default" w:ascii="Times New Roman" w:hAnsi="Times New Roman" w:eastAsia="宋体" w:cs="Times New Roman"/>
                <w:bCs/>
                <w:kern w:val="2"/>
                <w:sz w:val="21"/>
                <w:szCs w:val="20"/>
                <w:lang w:val="en-US" w:eastAsia="zh-CN" w:bidi="ar-SA"/>
              </w:rPr>
            </w:pPr>
            <w:r>
              <w:rPr>
                <w:rFonts w:hint="default" w:ascii="Times New Roman" w:hAnsi="Times New Roman" w:eastAsia="宋体" w:cs="Times New Roman"/>
                <w:bCs/>
                <w:kern w:val="2"/>
                <w:sz w:val="21"/>
                <w:szCs w:val="20"/>
                <w:lang w:val="en-US" w:eastAsia="zh-CN" w:bidi="ar-SA"/>
              </w:rPr>
              <w:t>拉沟河</w:t>
            </w:r>
          </w:p>
        </w:tc>
        <w:tc>
          <w:tcPr>
            <w:tcW w:w="778" w:type="pct"/>
            <w:tcBorders>
              <w:tl2br w:val="nil"/>
              <w:tr2bl w:val="nil"/>
            </w:tcBorders>
            <w:noWrap w:val="0"/>
            <w:vAlign w:val="center"/>
          </w:tcPr>
          <w:p>
            <w:pPr>
              <w:pStyle w:val="58"/>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bCs/>
                <w:kern w:val="2"/>
                <w:sz w:val="21"/>
                <w:szCs w:val="20"/>
                <w:lang w:val="en-US" w:eastAsia="zh-CN" w:bidi="ar-SA"/>
              </w:rPr>
            </w:pPr>
            <w:r>
              <w:rPr>
                <w:rFonts w:hint="default" w:ascii="Times New Roman" w:hAnsi="Times New Roman" w:eastAsia="宋体" w:cs="Times New Roman"/>
                <w:bCs/>
                <w:kern w:val="2"/>
                <w:sz w:val="21"/>
                <w:szCs w:val="20"/>
                <w:lang w:val="en-US" w:eastAsia="zh-CN" w:bidi="ar-SA"/>
              </w:rPr>
              <w:t>W</w:t>
            </w:r>
          </w:p>
        </w:tc>
        <w:tc>
          <w:tcPr>
            <w:tcW w:w="778" w:type="pct"/>
            <w:tcBorders>
              <w:tl2br w:val="nil"/>
              <w:tr2bl w:val="nil"/>
            </w:tcBorders>
            <w:noWrap w:val="0"/>
            <w:vAlign w:val="center"/>
          </w:tcPr>
          <w:p>
            <w:pPr>
              <w:pStyle w:val="58"/>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cs="Times New Roman"/>
                <w:spacing w:val="4"/>
                <w:kern w:val="0"/>
                <w:szCs w:val="21"/>
              </w:rPr>
            </w:pPr>
            <w:r>
              <w:rPr>
                <w:rFonts w:hint="default" w:ascii="Times New Roman" w:hAnsi="Times New Roman" w:cs="Times New Roman"/>
                <w:spacing w:val="4"/>
                <w:kern w:val="0"/>
                <w:szCs w:val="21"/>
                <w:lang w:val="en-US" w:eastAsia="zh-CN"/>
              </w:rPr>
              <w:t>2200m</w:t>
            </w:r>
          </w:p>
        </w:tc>
        <w:tc>
          <w:tcPr>
            <w:tcW w:w="1188" w:type="pct"/>
            <w:vMerge w:val="restar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地表水III类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489" w:type="pct"/>
            <w:vMerge w:val="continue"/>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p>
        </w:tc>
        <w:tc>
          <w:tcPr>
            <w:tcW w:w="401" w:type="pc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w:t>
            </w:r>
          </w:p>
        </w:tc>
        <w:tc>
          <w:tcPr>
            <w:tcW w:w="136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tLeast"/>
              <w:ind w:left="0" w:leftChars="0" w:firstLine="0" w:firstLineChars="0"/>
              <w:jc w:val="center"/>
              <w:textAlignment w:val="auto"/>
              <w:rPr>
                <w:rFonts w:hint="default" w:ascii="Times New Roman" w:hAnsi="Times New Roman" w:eastAsia="宋体" w:cs="Times New Roman"/>
                <w:bCs/>
                <w:kern w:val="2"/>
                <w:sz w:val="21"/>
                <w:szCs w:val="20"/>
                <w:lang w:val="en-US" w:eastAsia="zh-CN" w:bidi="ar-SA"/>
              </w:rPr>
            </w:pPr>
            <w:r>
              <w:rPr>
                <w:rFonts w:hint="default" w:ascii="Times New Roman" w:hAnsi="Times New Roman" w:eastAsia="宋体" w:cs="Times New Roman"/>
                <w:bCs/>
                <w:kern w:val="2"/>
                <w:sz w:val="21"/>
                <w:szCs w:val="20"/>
                <w:lang w:val="en-US" w:eastAsia="zh-CN" w:bidi="ar-SA"/>
              </w:rPr>
              <w:t>新沟河</w:t>
            </w:r>
          </w:p>
        </w:tc>
        <w:tc>
          <w:tcPr>
            <w:tcW w:w="778" w:type="pct"/>
            <w:tcBorders>
              <w:tl2br w:val="nil"/>
              <w:tr2bl w:val="nil"/>
            </w:tcBorders>
            <w:noWrap w:val="0"/>
            <w:vAlign w:val="center"/>
          </w:tcPr>
          <w:p>
            <w:pPr>
              <w:pStyle w:val="58"/>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bCs/>
                <w:kern w:val="2"/>
                <w:sz w:val="21"/>
                <w:szCs w:val="20"/>
                <w:lang w:val="en-US" w:eastAsia="zh-CN" w:bidi="ar-SA"/>
              </w:rPr>
            </w:pPr>
            <w:r>
              <w:rPr>
                <w:rFonts w:hint="default" w:ascii="Times New Roman" w:hAnsi="Times New Roman" w:eastAsia="宋体" w:cs="Times New Roman"/>
                <w:bCs/>
                <w:kern w:val="2"/>
                <w:sz w:val="21"/>
                <w:szCs w:val="20"/>
                <w:lang w:val="en-US" w:eastAsia="zh-CN" w:bidi="ar-SA"/>
              </w:rPr>
              <w:t>S</w:t>
            </w:r>
          </w:p>
        </w:tc>
        <w:tc>
          <w:tcPr>
            <w:tcW w:w="778" w:type="pct"/>
            <w:tcBorders>
              <w:tl2br w:val="nil"/>
              <w:tr2bl w:val="nil"/>
            </w:tcBorders>
            <w:noWrap w:val="0"/>
            <w:vAlign w:val="center"/>
          </w:tcPr>
          <w:p>
            <w:pPr>
              <w:pStyle w:val="58"/>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cs="Times New Roman"/>
                <w:spacing w:val="4"/>
                <w:kern w:val="0"/>
                <w:szCs w:val="21"/>
              </w:rPr>
            </w:pPr>
            <w:r>
              <w:rPr>
                <w:rFonts w:hint="default" w:ascii="Times New Roman" w:hAnsi="Times New Roman" w:cs="Times New Roman"/>
                <w:spacing w:val="4"/>
                <w:kern w:val="0"/>
                <w:szCs w:val="21"/>
                <w:lang w:val="en-US" w:eastAsia="zh-CN"/>
              </w:rPr>
              <w:t>4080m</w:t>
            </w:r>
          </w:p>
        </w:tc>
        <w:tc>
          <w:tcPr>
            <w:tcW w:w="1188" w:type="pct"/>
            <w:vMerge w:val="continue"/>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6" w:hRule="atLeast"/>
        </w:trPr>
        <w:tc>
          <w:tcPr>
            <w:tcW w:w="489" w:type="pct"/>
            <w:vMerge w:val="continue"/>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p>
        </w:tc>
        <w:tc>
          <w:tcPr>
            <w:tcW w:w="401" w:type="pct"/>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3</w:t>
            </w:r>
          </w:p>
        </w:tc>
        <w:tc>
          <w:tcPr>
            <w:tcW w:w="136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tLeast"/>
              <w:ind w:left="0" w:leftChars="0" w:firstLine="0" w:firstLineChars="0"/>
              <w:jc w:val="center"/>
              <w:textAlignment w:val="auto"/>
              <w:rPr>
                <w:rFonts w:hint="default" w:ascii="Times New Roman" w:hAnsi="Times New Roman" w:eastAsia="宋体" w:cs="Times New Roman"/>
                <w:bCs/>
                <w:kern w:val="2"/>
                <w:sz w:val="21"/>
                <w:szCs w:val="20"/>
                <w:lang w:val="en-US" w:eastAsia="zh-CN" w:bidi="ar-SA"/>
              </w:rPr>
            </w:pPr>
            <w:r>
              <w:rPr>
                <w:rFonts w:hint="default" w:ascii="Times New Roman" w:hAnsi="Times New Roman" w:eastAsia="宋体" w:cs="Times New Roman"/>
                <w:bCs/>
                <w:kern w:val="2"/>
                <w:sz w:val="21"/>
                <w:szCs w:val="20"/>
                <w:lang w:val="en-US" w:eastAsia="zh-CN" w:bidi="ar-SA"/>
              </w:rPr>
              <w:t>陶沟河</w:t>
            </w:r>
          </w:p>
        </w:tc>
        <w:tc>
          <w:tcPr>
            <w:tcW w:w="778" w:type="pct"/>
            <w:tcBorders>
              <w:tl2br w:val="nil"/>
              <w:tr2bl w:val="nil"/>
            </w:tcBorders>
            <w:noWrap w:val="0"/>
            <w:vAlign w:val="center"/>
          </w:tcPr>
          <w:p>
            <w:pPr>
              <w:pStyle w:val="58"/>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bCs/>
                <w:kern w:val="2"/>
                <w:sz w:val="21"/>
                <w:szCs w:val="20"/>
                <w:lang w:val="en-US" w:eastAsia="zh-CN" w:bidi="ar-SA"/>
              </w:rPr>
            </w:pPr>
            <w:r>
              <w:rPr>
                <w:rFonts w:hint="default" w:ascii="Times New Roman" w:hAnsi="Times New Roman" w:eastAsia="宋体" w:cs="Times New Roman"/>
                <w:bCs/>
                <w:kern w:val="2"/>
                <w:sz w:val="21"/>
                <w:szCs w:val="20"/>
                <w:lang w:val="en-US" w:eastAsia="zh-CN" w:bidi="ar-SA"/>
              </w:rPr>
              <w:t>E</w:t>
            </w:r>
          </w:p>
        </w:tc>
        <w:tc>
          <w:tcPr>
            <w:tcW w:w="778" w:type="pct"/>
            <w:tcBorders>
              <w:tl2br w:val="nil"/>
              <w:tr2bl w:val="nil"/>
            </w:tcBorders>
            <w:noWrap w:val="0"/>
            <w:vAlign w:val="center"/>
          </w:tcPr>
          <w:p>
            <w:pPr>
              <w:pStyle w:val="58"/>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cs="Times New Roman"/>
                <w:spacing w:val="4"/>
                <w:kern w:val="0"/>
                <w:szCs w:val="21"/>
              </w:rPr>
            </w:pPr>
            <w:r>
              <w:rPr>
                <w:rFonts w:hint="default" w:ascii="Times New Roman" w:hAnsi="Times New Roman" w:cs="Times New Roman"/>
                <w:spacing w:val="4"/>
                <w:kern w:val="0"/>
                <w:szCs w:val="21"/>
                <w:lang w:val="en-US" w:eastAsia="zh-CN"/>
              </w:rPr>
              <w:t>3170m</w:t>
            </w:r>
          </w:p>
        </w:tc>
        <w:tc>
          <w:tcPr>
            <w:tcW w:w="1188" w:type="pct"/>
            <w:vMerge w:val="continue"/>
            <w:tcBorders>
              <w:tl2br w:val="nil"/>
              <w:tr2bl w:val="nil"/>
            </w:tcBorders>
            <w:noWrap w:val="0"/>
            <w:vAlign w:val="center"/>
          </w:tcPr>
          <w:p>
            <w:pPr>
              <w:pStyle w:val="35"/>
              <w:keepNext w:val="0"/>
              <w:keepLines w:val="0"/>
              <w:pageBreakBefore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lang w:val="en-US" w:eastAsia="zh-CN"/>
              </w:rPr>
            </w:pPr>
          </w:p>
        </w:tc>
      </w:tr>
    </w:tbl>
    <w:p>
      <w:pPr>
        <w:bidi w:val="0"/>
        <w:rPr>
          <w:rFonts w:hint="default" w:ascii="Times New Roman" w:hAnsi="Times New Roman" w:cs="Times New Roman"/>
          <w:lang w:val="en-US" w:eastAsia="zh-CN"/>
        </w:rPr>
      </w:pPr>
      <w:r>
        <w:rPr>
          <w:rFonts w:hint="default" w:ascii="Times New Roman" w:hAnsi="Times New Roman" w:cs="Times New Roman"/>
          <w:lang w:val="en-US" w:eastAsia="zh-CN"/>
        </w:rPr>
        <w:t>（3）地下水环境</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地下水环境敏感保护目标为一期项目周边地下水含水层。</w:t>
      </w:r>
    </w:p>
    <w:p>
      <w:pPr>
        <w:pStyle w:val="4"/>
        <w:bidi w:val="0"/>
        <w:rPr>
          <w:rFonts w:hint="default" w:ascii="Times New Roman" w:hAnsi="Times New Roman" w:eastAsia="黑体" w:cs="Times New Roman"/>
          <w:color w:val="auto"/>
          <w:lang w:val="en-US" w:eastAsia="zh-CN"/>
        </w:rPr>
      </w:pPr>
      <w:bookmarkStart w:id="49" w:name="_Toc18973"/>
      <w:bookmarkStart w:id="50" w:name="_Toc444522064"/>
      <w:bookmarkStart w:id="51" w:name="_Toc9374"/>
      <w:r>
        <w:rPr>
          <w:rFonts w:hint="default" w:ascii="Times New Roman" w:hAnsi="Times New Roman" w:cs="Times New Roman"/>
          <w:color w:val="auto"/>
        </w:rPr>
        <w:t xml:space="preserve">3.3 </w:t>
      </w:r>
      <w:r>
        <w:rPr>
          <w:rFonts w:hint="default" w:ascii="Times New Roman" w:hAnsi="Times New Roman" w:cs="Times New Roman"/>
          <w:color w:val="auto"/>
          <w:lang w:val="en-US" w:eastAsia="zh-CN"/>
        </w:rPr>
        <w:t>涉及</w:t>
      </w:r>
      <w:r>
        <w:rPr>
          <w:rFonts w:hint="default" w:ascii="Times New Roman" w:hAnsi="Times New Roman" w:cs="Times New Roman"/>
          <w:color w:val="auto"/>
        </w:rPr>
        <w:t>环境风险物质</w:t>
      </w:r>
      <w:bookmarkEnd w:id="49"/>
      <w:bookmarkEnd w:id="50"/>
      <w:r>
        <w:rPr>
          <w:rFonts w:hint="default" w:ascii="Times New Roman" w:hAnsi="Times New Roman" w:cs="Times New Roman"/>
          <w:color w:val="auto"/>
          <w:lang w:val="en-US" w:eastAsia="zh-CN"/>
        </w:rPr>
        <w:t>情况</w:t>
      </w:r>
      <w:bookmarkEnd w:id="51"/>
    </w:p>
    <w:p>
      <w:pPr>
        <w:bidi w:val="0"/>
        <w:rPr>
          <w:rFonts w:hint="default" w:ascii="Times New Roman" w:hAnsi="Times New Roman" w:cs="Times New Roman"/>
          <w:lang w:eastAsia="zh-CN"/>
        </w:rPr>
      </w:pPr>
      <w:r>
        <w:rPr>
          <w:rFonts w:hint="default" w:ascii="Times New Roman" w:hAnsi="Times New Roman" w:cs="Times New Roman"/>
          <w:lang w:eastAsia="zh-CN"/>
        </w:rPr>
        <w:t>环境风险识别范围包括生产过程中所涉及的物质风险识别和生产设施风险识别。物质风险识别范围为主要原辅材料、产品及生产过程排放的“三废”污染物等；生产设施风险识别范围为主要生产装置、贮运系统、公用工程系统、环保设施、辅助生产设施及经营过程中的次生突发环境事件。</w:t>
      </w:r>
    </w:p>
    <w:p>
      <w:pPr>
        <w:pStyle w:val="5"/>
        <w:bidi w:val="0"/>
        <w:rPr>
          <w:rFonts w:hint="default" w:ascii="Times New Roman" w:hAnsi="Times New Roman" w:cs="Times New Roman"/>
          <w:lang w:val="en-US" w:eastAsia="zh-CN"/>
        </w:rPr>
      </w:pPr>
      <w:r>
        <w:rPr>
          <w:rFonts w:hint="default" w:ascii="Times New Roman" w:hAnsi="Times New Roman" w:cs="Times New Roman"/>
          <w:lang w:val="en-US" w:eastAsia="zh-CN"/>
        </w:rPr>
        <w:t>3.3.1 原辅材料用量及储存方式</w:t>
      </w:r>
    </w:p>
    <w:p>
      <w:pPr>
        <w:bidi w:val="0"/>
        <w:rPr>
          <w:rFonts w:hint="default" w:ascii="Times New Roman" w:hAnsi="Times New Roman" w:cs="Times New Roman"/>
          <w:color w:val="auto"/>
        </w:rPr>
      </w:pPr>
      <w:r>
        <w:rPr>
          <w:rFonts w:hint="default" w:ascii="Times New Roman" w:hAnsi="Times New Roman" w:cs="Times New Roman"/>
          <w:color w:val="auto"/>
        </w:rPr>
        <w:t>本公司</w:t>
      </w:r>
      <w:r>
        <w:rPr>
          <w:rFonts w:hint="default" w:ascii="Times New Roman" w:hAnsi="Times New Roman" w:cs="Times New Roman"/>
          <w:color w:val="auto"/>
          <w:lang w:val="en-US" w:eastAsia="zh-CN"/>
        </w:rPr>
        <w:t>原辅材料</w:t>
      </w:r>
      <w:r>
        <w:rPr>
          <w:rFonts w:hint="default" w:ascii="Times New Roman" w:hAnsi="Times New Roman" w:cs="Times New Roman"/>
          <w:color w:val="auto"/>
        </w:rPr>
        <w:t>消耗及产品见表3.</w:t>
      </w:r>
      <w:r>
        <w:rPr>
          <w:rFonts w:hint="default" w:ascii="Times New Roman" w:hAnsi="Times New Roman" w:cs="Times New Roman"/>
          <w:color w:val="auto"/>
          <w:lang w:val="en-US" w:eastAsia="zh-CN"/>
        </w:rPr>
        <w:t>3-1</w:t>
      </w:r>
      <w:r>
        <w:rPr>
          <w:rFonts w:hint="default" w:ascii="Times New Roman" w:hAnsi="Times New Roman" w:cs="Times New Roman"/>
          <w:color w:val="auto"/>
        </w:rPr>
        <w:t>。</w:t>
      </w:r>
    </w:p>
    <w:p>
      <w:pPr>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表3.3-1原辅材料消耗及产品一览表</w:t>
      </w:r>
    </w:p>
    <w:tbl>
      <w:tblPr>
        <w:tblStyle w:val="29"/>
        <w:tblW w:w="485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57"/>
        <w:gridCol w:w="1196"/>
        <w:gridCol w:w="1807"/>
        <w:gridCol w:w="1442"/>
        <w:gridCol w:w="1480"/>
        <w:gridCol w:w="14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8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名称</w:t>
            </w:r>
          </w:p>
        </w:tc>
        <w:tc>
          <w:tcPr>
            <w:tcW w:w="67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产品产量或消耗量</w:t>
            </w:r>
          </w:p>
        </w:tc>
        <w:tc>
          <w:tcPr>
            <w:tcW w:w="10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原辅材料</w:t>
            </w:r>
            <w:r>
              <w:rPr>
                <w:rFonts w:hint="default" w:ascii="Times New Roman" w:hAnsi="Times New Roman" w:eastAsia="宋体" w:cs="Times New Roman"/>
                <w:color w:val="auto"/>
                <w:sz w:val="21"/>
                <w:szCs w:val="21"/>
              </w:rPr>
              <w:t>名称</w:t>
            </w:r>
          </w:p>
        </w:tc>
        <w:tc>
          <w:tcPr>
            <w:tcW w:w="81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年消耗量t/a</w:t>
            </w:r>
          </w:p>
        </w:tc>
        <w:tc>
          <w:tcPr>
            <w:tcW w:w="83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来源</w:t>
            </w:r>
          </w:p>
        </w:tc>
        <w:tc>
          <w:tcPr>
            <w:tcW w:w="83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运输方式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22"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甲醛</w:t>
            </w:r>
          </w:p>
        </w:tc>
        <w:tc>
          <w:tcPr>
            <w:tcW w:w="675"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40万吨/年</w:t>
            </w:r>
          </w:p>
        </w:tc>
        <w:tc>
          <w:tcPr>
            <w:tcW w:w="10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甲醇</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99.9%</w:t>
            </w:r>
            <w:r>
              <w:rPr>
                <w:rFonts w:hint="default" w:ascii="Times New Roman" w:hAnsi="Times New Roman" w:cs="Times New Roman"/>
                <w:sz w:val="21"/>
                <w:szCs w:val="21"/>
                <w:lang w:eastAsia="zh-CN"/>
              </w:rPr>
              <w:t>）</w:t>
            </w:r>
          </w:p>
        </w:tc>
        <w:tc>
          <w:tcPr>
            <w:tcW w:w="81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182875.183</w:t>
            </w:r>
          </w:p>
        </w:tc>
        <w:tc>
          <w:tcPr>
            <w:tcW w:w="83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外购</w:t>
            </w:r>
          </w:p>
        </w:tc>
        <w:tc>
          <w:tcPr>
            <w:tcW w:w="83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槽车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22"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rPr>
            </w:pPr>
          </w:p>
        </w:tc>
        <w:tc>
          <w:tcPr>
            <w:tcW w:w="675"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rPr>
            </w:pPr>
          </w:p>
        </w:tc>
        <w:tc>
          <w:tcPr>
            <w:tcW w:w="10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电解银催化剂</w:t>
            </w:r>
          </w:p>
        </w:tc>
        <w:tc>
          <w:tcPr>
            <w:tcW w:w="81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p>
        </w:tc>
        <w:tc>
          <w:tcPr>
            <w:tcW w:w="83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外购</w:t>
            </w:r>
          </w:p>
        </w:tc>
        <w:tc>
          <w:tcPr>
            <w:tcW w:w="83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22"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rPr>
            </w:pPr>
          </w:p>
        </w:tc>
        <w:tc>
          <w:tcPr>
            <w:tcW w:w="675"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rPr>
            </w:pPr>
          </w:p>
        </w:tc>
        <w:tc>
          <w:tcPr>
            <w:tcW w:w="102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空气</w:t>
            </w:r>
          </w:p>
        </w:tc>
        <w:tc>
          <w:tcPr>
            <w:tcW w:w="81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347985.333</w:t>
            </w:r>
          </w:p>
        </w:tc>
        <w:tc>
          <w:tcPr>
            <w:tcW w:w="83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83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bl>
    <w:p>
      <w:pPr>
        <w:spacing w:line="480" w:lineRule="exact"/>
        <w:ind w:firstLine="480"/>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表</w:t>
      </w:r>
      <w:r>
        <w:rPr>
          <w:rFonts w:hint="default" w:ascii="Times New Roman" w:hAnsi="Times New Roman" w:eastAsia="黑体" w:cs="Times New Roman"/>
          <w:sz w:val="24"/>
          <w:szCs w:val="24"/>
          <w:lang w:val="en-US" w:eastAsia="zh-CN"/>
        </w:rPr>
        <w:t>3</w:t>
      </w:r>
      <w:r>
        <w:rPr>
          <w:rFonts w:hint="default" w:ascii="Times New Roman" w:hAnsi="Times New Roman" w:eastAsia="黑体" w:cs="Times New Roman"/>
          <w:sz w:val="24"/>
          <w:szCs w:val="24"/>
        </w:rPr>
        <w:t>.</w:t>
      </w:r>
      <w:r>
        <w:rPr>
          <w:rFonts w:hint="default" w:ascii="Times New Roman" w:hAnsi="Times New Roman" w:eastAsia="黑体" w:cs="Times New Roman"/>
          <w:sz w:val="24"/>
          <w:szCs w:val="24"/>
          <w:lang w:val="en-US" w:eastAsia="zh-CN"/>
        </w:rPr>
        <w:t>3</w:t>
      </w:r>
      <w:r>
        <w:rPr>
          <w:rFonts w:hint="default" w:ascii="Times New Roman" w:hAnsi="Times New Roman" w:eastAsia="黑体" w:cs="Times New Roman"/>
          <w:sz w:val="24"/>
          <w:szCs w:val="24"/>
        </w:rPr>
        <w:t>-</w:t>
      </w:r>
      <w:r>
        <w:rPr>
          <w:rFonts w:hint="default" w:ascii="Times New Roman" w:hAnsi="Times New Roman" w:eastAsia="黑体" w:cs="Times New Roman"/>
          <w:sz w:val="24"/>
          <w:szCs w:val="24"/>
          <w:lang w:val="en-US" w:eastAsia="zh-CN"/>
        </w:rPr>
        <w:t>2</w:t>
      </w:r>
      <w:r>
        <w:rPr>
          <w:rFonts w:hint="default" w:ascii="Times New Roman" w:hAnsi="Times New Roman" w:eastAsia="黑体" w:cs="Times New Roman"/>
          <w:sz w:val="24"/>
          <w:szCs w:val="24"/>
        </w:rPr>
        <w:t xml:space="preserve"> 拟建项目物料和产品储运情况一览表</w:t>
      </w:r>
    </w:p>
    <w:tbl>
      <w:tblPr>
        <w:tblStyle w:val="29"/>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67"/>
        <w:gridCol w:w="1425"/>
        <w:gridCol w:w="1005"/>
        <w:gridCol w:w="1338"/>
        <w:gridCol w:w="1335"/>
        <w:gridCol w:w="1427"/>
        <w:gridCol w:w="170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5"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position w:val="-2"/>
                <w:sz w:val="21"/>
                <w:szCs w:val="21"/>
              </w:rPr>
              <w:t>序号</w:t>
            </w:r>
          </w:p>
        </w:tc>
        <w:tc>
          <w:tcPr>
            <w:tcW w:w="80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物料/产品</w:t>
            </w:r>
          </w:p>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1317" w:type="pct"/>
            <w:gridSpan w:val="2"/>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position w:val="-2"/>
                <w:sz w:val="21"/>
                <w:szCs w:val="21"/>
              </w:rPr>
            </w:pPr>
            <w:r>
              <w:rPr>
                <w:rFonts w:hint="default" w:ascii="Times New Roman" w:hAnsi="Times New Roman" w:cs="Times New Roman"/>
                <w:position w:val="-2"/>
                <w:sz w:val="21"/>
                <w:szCs w:val="21"/>
              </w:rPr>
              <w:t>运输</w:t>
            </w:r>
          </w:p>
        </w:tc>
        <w:tc>
          <w:tcPr>
            <w:tcW w:w="2505"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position w:val="-2"/>
                <w:sz w:val="21"/>
                <w:szCs w:val="21"/>
              </w:rPr>
            </w:pPr>
            <w:r>
              <w:rPr>
                <w:rFonts w:hint="default" w:ascii="Times New Roman" w:hAnsi="Times New Roman" w:cs="Times New Roman"/>
                <w:position w:val="-2"/>
                <w:sz w:val="21"/>
                <w:szCs w:val="21"/>
              </w:rPr>
              <w:t>储存</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5"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position w:val="-2"/>
                <w:sz w:val="21"/>
                <w:szCs w:val="21"/>
              </w:rPr>
            </w:pPr>
          </w:p>
        </w:tc>
        <w:tc>
          <w:tcPr>
            <w:tcW w:w="80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sz w:val="21"/>
                <w:szCs w:val="21"/>
              </w:rPr>
            </w:pPr>
          </w:p>
        </w:tc>
        <w:tc>
          <w:tcPr>
            <w:tcW w:w="56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position w:val="-2"/>
                <w:sz w:val="21"/>
                <w:szCs w:val="21"/>
              </w:rPr>
            </w:pPr>
            <w:r>
              <w:rPr>
                <w:rFonts w:hint="default" w:ascii="Times New Roman" w:hAnsi="Times New Roman" w:cs="Times New Roman"/>
                <w:position w:val="-2"/>
                <w:sz w:val="21"/>
                <w:szCs w:val="21"/>
              </w:rPr>
              <w:t>运输量</w:t>
            </w:r>
          </w:p>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position w:val="-2"/>
                <w:sz w:val="21"/>
                <w:szCs w:val="21"/>
              </w:rPr>
            </w:pPr>
            <w:r>
              <w:rPr>
                <w:rFonts w:hint="default" w:ascii="Times New Roman" w:hAnsi="Times New Roman" w:cs="Times New Roman"/>
                <w:position w:val="-2"/>
                <w:sz w:val="21"/>
                <w:szCs w:val="21"/>
              </w:rPr>
              <w:t>（t/a）</w:t>
            </w:r>
          </w:p>
        </w:tc>
        <w:tc>
          <w:tcPr>
            <w:tcW w:w="75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position w:val="-2"/>
                <w:sz w:val="21"/>
                <w:szCs w:val="21"/>
              </w:rPr>
            </w:pPr>
            <w:r>
              <w:rPr>
                <w:rFonts w:hint="default" w:ascii="Times New Roman" w:hAnsi="Times New Roman" w:cs="Times New Roman"/>
                <w:position w:val="-2"/>
                <w:sz w:val="21"/>
                <w:szCs w:val="21"/>
              </w:rPr>
              <w:t>运输方式</w:t>
            </w:r>
          </w:p>
        </w:tc>
        <w:tc>
          <w:tcPr>
            <w:tcW w:w="75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position w:val="-2"/>
                <w:sz w:val="21"/>
                <w:szCs w:val="21"/>
              </w:rPr>
            </w:pPr>
            <w:r>
              <w:rPr>
                <w:rFonts w:hint="default" w:ascii="Times New Roman" w:hAnsi="Times New Roman" w:cs="Times New Roman"/>
                <w:position w:val="-2"/>
                <w:sz w:val="21"/>
                <w:szCs w:val="21"/>
              </w:rPr>
              <w:t>储存位置</w:t>
            </w:r>
          </w:p>
        </w:tc>
        <w:tc>
          <w:tcPr>
            <w:tcW w:w="80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position w:val="-2"/>
                <w:sz w:val="21"/>
                <w:szCs w:val="21"/>
              </w:rPr>
            </w:pPr>
            <w:r>
              <w:rPr>
                <w:rFonts w:hint="default" w:ascii="Times New Roman" w:hAnsi="Times New Roman" w:cs="Times New Roman"/>
                <w:position w:val="-2"/>
                <w:sz w:val="21"/>
                <w:szCs w:val="21"/>
              </w:rPr>
              <w:t>储存/包装</w:t>
            </w:r>
          </w:p>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position w:val="-2"/>
                <w:sz w:val="21"/>
                <w:szCs w:val="21"/>
              </w:rPr>
            </w:pPr>
            <w:r>
              <w:rPr>
                <w:rFonts w:hint="default" w:ascii="Times New Roman" w:hAnsi="Times New Roman" w:cs="Times New Roman"/>
                <w:position w:val="-2"/>
                <w:sz w:val="21"/>
                <w:szCs w:val="21"/>
              </w:rPr>
              <w:t>方式</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color w:val="auto"/>
                <w:position w:val="-2"/>
                <w:sz w:val="21"/>
                <w:szCs w:val="21"/>
              </w:rPr>
            </w:pPr>
            <w:r>
              <w:rPr>
                <w:rFonts w:hint="default" w:ascii="Times New Roman" w:hAnsi="Times New Roman" w:cs="Times New Roman"/>
                <w:color w:val="auto"/>
                <w:position w:val="-2"/>
                <w:sz w:val="21"/>
                <w:szCs w:val="21"/>
              </w:rPr>
              <w:t>最大储存量</w:t>
            </w:r>
          </w:p>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color w:val="auto"/>
                <w:position w:val="-2"/>
                <w:sz w:val="21"/>
                <w:szCs w:val="21"/>
              </w:rPr>
            </w:pPr>
            <w:r>
              <w:rPr>
                <w:rFonts w:hint="default" w:ascii="Times New Roman" w:hAnsi="Times New Roman" w:cs="Times New Roman"/>
                <w:color w:val="auto"/>
                <w:position w:val="-2"/>
                <w:sz w:val="21"/>
                <w:szCs w:val="21"/>
              </w:rPr>
              <w:t>（t/a）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5000" w:type="pct"/>
            <w:gridSpan w:val="7"/>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color w:val="auto"/>
                <w:position w:val="-2"/>
                <w:sz w:val="21"/>
                <w:szCs w:val="21"/>
              </w:rPr>
            </w:pPr>
            <w:r>
              <w:rPr>
                <w:rFonts w:hint="default" w:ascii="Times New Roman" w:hAnsi="Times New Roman" w:cs="Times New Roman"/>
                <w:color w:val="auto"/>
                <w:position w:val="-2"/>
                <w:sz w:val="21"/>
                <w:szCs w:val="21"/>
              </w:rPr>
              <w:t>原料</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801" w:type="pct"/>
            <w:tcBorders>
              <w:tl2br w:val="nil"/>
              <w:tr2bl w:val="nil"/>
            </w:tcBorders>
            <w:noWrap w:val="0"/>
            <w:vAlign w:val="center"/>
          </w:tcPr>
          <w:p>
            <w:pPr>
              <w:pStyle w:val="60"/>
              <w:keepNext w:val="0"/>
              <w:keepLines w:val="0"/>
              <w:pageBreakBefore w:val="0"/>
              <w:widowControl w:val="0"/>
              <w:kinsoku/>
              <w:wordWrap/>
              <w:overflowPunct/>
              <w:topLinePunct w:val="0"/>
              <w:bidi w:val="0"/>
              <w:snapToGrid/>
              <w:spacing w:beforeLines="0" w:line="240" w:lineRule="atLeast"/>
              <w:ind w:firstLine="0" w:firstLineChars="0"/>
              <w:contextualSpacing/>
              <w:textAlignment w:val="auto"/>
              <w:rPr>
                <w:rFonts w:hint="default" w:ascii="Times New Roman" w:hAnsi="Times New Roman" w:cs="Times New Roman"/>
                <w:sz w:val="21"/>
                <w:szCs w:val="21"/>
              </w:rPr>
            </w:pPr>
            <w:r>
              <w:rPr>
                <w:rFonts w:hint="default" w:ascii="Times New Roman" w:hAnsi="Times New Roman" w:cs="Times New Roman"/>
                <w:sz w:val="21"/>
                <w:szCs w:val="21"/>
              </w:rPr>
              <w:t>甲醇</w:t>
            </w:r>
          </w:p>
        </w:tc>
        <w:tc>
          <w:tcPr>
            <w:tcW w:w="565" w:type="pct"/>
            <w:tcBorders>
              <w:tl2br w:val="nil"/>
              <w:tr2bl w:val="nil"/>
            </w:tcBorders>
            <w:noWrap w:val="0"/>
            <w:vAlign w:val="center"/>
          </w:tcPr>
          <w:p>
            <w:pPr>
              <w:pStyle w:val="60"/>
              <w:keepNext w:val="0"/>
              <w:keepLines w:val="0"/>
              <w:pageBreakBefore w:val="0"/>
              <w:widowControl w:val="0"/>
              <w:kinsoku/>
              <w:wordWrap/>
              <w:overflowPunct/>
              <w:topLinePunct w:val="0"/>
              <w:bidi w:val="0"/>
              <w:snapToGrid/>
              <w:spacing w:beforeLines="0" w:line="240" w:lineRule="atLeast"/>
              <w:ind w:firstLine="0" w:firstLineChars="0"/>
              <w:contextualSpacing/>
              <w:textAlignment w:val="auto"/>
              <w:rPr>
                <w:rFonts w:hint="default" w:ascii="Times New Roman" w:hAnsi="Times New Roman" w:cs="Times New Roman"/>
                <w:sz w:val="21"/>
                <w:szCs w:val="21"/>
              </w:rPr>
            </w:pPr>
            <w:r>
              <w:rPr>
                <w:rFonts w:hint="default" w:ascii="Times New Roman" w:hAnsi="Times New Roman" w:cs="Times New Roman"/>
                <w:sz w:val="21"/>
                <w:szCs w:val="21"/>
              </w:rPr>
              <w:t>182875.2</w:t>
            </w:r>
          </w:p>
        </w:tc>
        <w:tc>
          <w:tcPr>
            <w:tcW w:w="75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槽罐车</w:t>
            </w:r>
          </w:p>
        </w:tc>
        <w:tc>
          <w:tcPr>
            <w:tcW w:w="75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储罐区</w:t>
            </w:r>
          </w:p>
        </w:tc>
        <w:tc>
          <w:tcPr>
            <w:tcW w:w="80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*4000m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储罐</w:t>
            </w:r>
          </w:p>
        </w:tc>
        <w:tc>
          <w:tcPr>
            <w:tcW w:w="95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3600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000" w:type="pct"/>
            <w:gridSpan w:val="7"/>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产品</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801" w:type="pct"/>
            <w:tcBorders>
              <w:tl2br w:val="nil"/>
              <w:tr2bl w:val="nil"/>
            </w:tcBorders>
            <w:noWrap w:val="0"/>
            <w:vAlign w:val="center"/>
          </w:tcPr>
          <w:p>
            <w:pPr>
              <w:pStyle w:val="61"/>
              <w:keepNext w:val="0"/>
              <w:keepLines w:val="0"/>
              <w:pageBreakBefore w:val="0"/>
              <w:widowControl w:val="0"/>
              <w:kinsoku/>
              <w:wordWrap/>
              <w:overflowPunct/>
              <w:topLinePunct w:val="0"/>
              <w:bidi w:val="0"/>
              <w:snapToGrid/>
              <w:spacing w:line="240" w:lineRule="atLeas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甲醛</w:t>
            </w:r>
          </w:p>
        </w:tc>
        <w:tc>
          <w:tcPr>
            <w:tcW w:w="565" w:type="pct"/>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4×10</w:t>
            </w:r>
            <w:r>
              <w:rPr>
                <w:rFonts w:hint="default" w:ascii="Times New Roman" w:hAnsi="Times New Roman" w:cs="Times New Roman"/>
                <w:sz w:val="21"/>
                <w:szCs w:val="21"/>
                <w:highlight w:val="none"/>
                <w:vertAlign w:val="superscript"/>
              </w:rPr>
              <w:t>5</w:t>
            </w:r>
          </w:p>
        </w:tc>
        <w:tc>
          <w:tcPr>
            <w:tcW w:w="751" w:type="pct"/>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槽罐车</w:t>
            </w:r>
          </w:p>
        </w:tc>
        <w:tc>
          <w:tcPr>
            <w:tcW w:w="750" w:type="pct"/>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储罐区</w:t>
            </w:r>
          </w:p>
        </w:tc>
        <w:tc>
          <w:tcPr>
            <w:tcW w:w="802" w:type="pct"/>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firstLine="0" w:firstLineChars="0"/>
              <w:jc w:val="center"/>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2</w:t>
            </w:r>
            <w:r>
              <w:rPr>
                <w:rFonts w:hint="default" w:ascii="Times New Roman" w:hAnsi="Times New Roman" w:cs="Times New Roman"/>
                <w:sz w:val="21"/>
                <w:szCs w:val="21"/>
                <w:highlight w:val="none"/>
              </w:rPr>
              <w:t>*</w:t>
            </w:r>
            <w:r>
              <w:rPr>
                <w:rFonts w:hint="default" w:ascii="Times New Roman" w:hAnsi="Times New Roman" w:cs="Times New Roman"/>
                <w:sz w:val="21"/>
                <w:szCs w:val="21"/>
                <w:highlight w:val="none"/>
                <w:lang w:val="en-US" w:eastAsia="zh-CN"/>
              </w:rPr>
              <w:t>3</w:t>
            </w:r>
            <w:r>
              <w:rPr>
                <w:rFonts w:hint="default" w:ascii="Times New Roman" w:hAnsi="Times New Roman" w:cs="Times New Roman"/>
                <w:sz w:val="21"/>
                <w:szCs w:val="21"/>
                <w:highlight w:val="none"/>
              </w:rPr>
              <w:t>000m</w:t>
            </w:r>
            <w:r>
              <w:rPr>
                <w:rFonts w:hint="default" w:ascii="Times New Roman" w:hAnsi="Times New Roman" w:cs="Times New Roman"/>
                <w:sz w:val="21"/>
                <w:szCs w:val="21"/>
                <w:highlight w:val="none"/>
                <w:vertAlign w:val="superscript"/>
              </w:rPr>
              <w:t>3</w:t>
            </w:r>
            <w:r>
              <w:rPr>
                <w:rFonts w:hint="default" w:ascii="Times New Roman" w:hAnsi="Times New Roman" w:cs="Times New Roman"/>
                <w:sz w:val="21"/>
                <w:szCs w:val="21"/>
                <w:highlight w:val="none"/>
              </w:rPr>
              <w:t>储罐</w:t>
            </w:r>
          </w:p>
        </w:tc>
        <w:tc>
          <w:tcPr>
            <w:tcW w:w="951" w:type="pct"/>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800</w:t>
            </w:r>
          </w:p>
        </w:tc>
      </w:tr>
    </w:tbl>
    <w:p>
      <w:pPr>
        <w:pStyle w:val="5"/>
        <w:bidi w:val="0"/>
        <w:rPr>
          <w:rFonts w:hint="default" w:ascii="Times New Roman" w:hAnsi="Times New Roman" w:eastAsia="黑体" w:cs="Times New Roman"/>
          <w:color w:val="auto"/>
          <w:lang w:val="en-US" w:eastAsia="zh-CN"/>
        </w:rPr>
      </w:pPr>
      <w:r>
        <w:rPr>
          <w:rFonts w:hint="default" w:ascii="Times New Roman" w:hAnsi="Times New Roman" w:cs="Times New Roman"/>
          <w:color w:val="auto"/>
          <w:lang w:val="en-US" w:eastAsia="zh-CN"/>
        </w:rPr>
        <w:t>3.3.2</w:t>
      </w:r>
      <w:r>
        <w:rPr>
          <w:rFonts w:hint="default" w:ascii="Times New Roman" w:hAnsi="Times New Roman" w:cs="Times New Roman"/>
          <w:color w:val="auto"/>
        </w:rPr>
        <w:t>环境风险物质</w:t>
      </w:r>
      <w:r>
        <w:rPr>
          <w:rFonts w:hint="default" w:ascii="Times New Roman" w:hAnsi="Times New Roman" w:cs="Times New Roman"/>
          <w:color w:val="auto"/>
          <w:lang w:val="en-US" w:eastAsia="zh-CN"/>
        </w:rPr>
        <w:t>识别</w:t>
      </w:r>
    </w:p>
    <w:p>
      <w:pPr>
        <w:bidi w:val="0"/>
        <w:rPr>
          <w:rFonts w:hint="default" w:ascii="Times New Roman" w:hAnsi="Times New Roman" w:cs="Times New Roman"/>
        </w:rPr>
      </w:pPr>
      <w:bookmarkStart w:id="52" w:name="_Hlk492733992"/>
      <w:bookmarkStart w:id="53" w:name="_Hlk494112158"/>
      <w:bookmarkStart w:id="54" w:name="_Hlk494108097"/>
      <w:r>
        <w:rPr>
          <w:rFonts w:hint="default" w:ascii="Times New Roman" w:hAnsi="Times New Roman" w:cs="Times New Roman"/>
        </w:rPr>
        <w:t>根据《企业突发环境事件风险分级方法》（HJ941-2018）</w:t>
      </w:r>
      <w:r>
        <w:rPr>
          <w:rFonts w:hint="default" w:ascii="Times New Roman" w:hAnsi="Times New Roman" w:cs="Times New Roman"/>
          <w:lang w:eastAsia="zh-CN"/>
        </w:rPr>
        <w:t>、</w:t>
      </w:r>
      <w:r>
        <w:rPr>
          <w:rFonts w:hint="default" w:ascii="Times New Roman" w:hAnsi="Times New Roman" w:cs="Times New Roman"/>
        </w:rPr>
        <w:t>《企业突发环境事件风险评估指南（试行）》（环办</w:t>
      </w:r>
      <w:r>
        <w:rPr>
          <w:rFonts w:hint="default" w:ascii="Times New Roman" w:hAnsi="Times New Roman" w:cs="Times New Roman"/>
          <w:lang w:eastAsia="zh-CN"/>
        </w:rPr>
        <w:t>﹝</w:t>
      </w:r>
      <w:r>
        <w:rPr>
          <w:rFonts w:hint="default" w:ascii="Times New Roman" w:hAnsi="Times New Roman" w:cs="Times New Roman"/>
        </w:rPr>
        <w:t>2014</w:t>
      </w:r>
      <w:r>
        <w:rPr>
          <w:rFonts w:hint="default" w:ascii="Times New Roman" w:hAnsi="Times New Roman" w:cs="Times New Roman"/>
          <w:lang w:eastAsia="zh-CN"/>
        </w:rPr>
        <w:t>﹞</w:t>
      </w:r>
      <w:r>
        <w:rPr>
          <w:rFonts w:hint="default" w:ascii="Times New Roman" w:hAnsi="Times New Roman" w:cs="Times New Roman"/>
          <w:lang w:val="en-US" w:eastAsia="zh-CN"/>
        </w:rPr>
        <w:t>34</w:t>
      </w:r>
      <w:r>
        <w:rPr>
          <w:rFonts w:hint="default" w:ascii="Times New Roman" w:hAnsi="Times New Roman" w:cs="Times New Roman"/>
        </w:rPr>
        <w:t>号）</w:t>
      </w:r>
      <w:r>
        <w:rPr>
          <w:rFonts w:hint="default" w:ascii="Times New Roman" w:hAnsi="Times New Roman" w:cs="Times New Roman"/>
          <w:lang w:eastAsia="zh-CN"/>
        </w:rPr>
        <w:t>等标准文件</w:t>
      </w:r>
      <w:r>
        <w:rPr>
          <w:rFonts w:hint="default" w:ascii="Times New Roman" w:hAnsi="Times New Roman" w:cs="Times New Roman"/>
        </w:rPr>
        <w:t>的规定，突发环境事件风险物质指具有有毒、有害、易燃易爆、易扩散等特性，在意外释放条件下可能对企业外部人群和环境造成伤害、污染的化学物质。</w:t>
      </w:r>
    </w:p>
    <w:p>
      <w:pPr>
        <w:bidi w:val="0"/>
        <w:rPr>
          <w:rFonts w:hint="default" w:ascii="Times New Roman" w:hAnsi="Times New Roman" w:cs="Times New Roman"/>
          <w:color w:val="auto"/>
        </w:rPr>
      </w:pPr>
      <w:r>
        <w:rPr>
          <w:rFonts w:hint="default" w:ascii="Times New Roman" w:hAnsi="Times New Roman" w:cs="Times New Roman"/>
          <w:color w:val="auto"/>
        </w:rPr>
        <w:t>本公司生产过程中涉及的主要环境风险物质为</w:t>
      </w:r>
      <w:r>
        <w:rPr>
          <w:rFonts w:hint="default" w:ascii="Times New Roman" w:hAnsi="Times New Roman" w:cs="Times New Roman"/>
          <w:color w:val="auto"/>
          <w:lang w:val="en-US" w:eastAsia="zh-CN"/>
        </w:rPr>
        <w:t>甲醛、甲醇等</w:t>
      </w:r>
      <w:r>
        <w:rPr>
          <w:rFonts w:hint="default" w:ascii="Times New Roman" w:hAnsi="Times New Roman" w:cs="Times New Roman"/>
          <w:color w:val="auto"/>
        </w:rPr>
        <w:t>，</w:t>
      </w:r>
      <w:r>
        <w:rPr>
          <w:rFonts w:hint="default" w:ascii="Times New Roman" w:hAnsi="Times New Roman" w:cs="Times New Roman"/>
          <w:lang w:val="en-US" w:eastAsia="zh-CN"/>
        </w:rPr>
        <w:t>根据《企业突发环境事件风险分级方法》（HJ941-2018）附录A，</w:t>
      </w:r>
      <w:r>
        <w:rPr>
          <w:rFonts w:hint="default" w:ascii="Times New Roman" w:hAnsi="Times New Roman" w:cs="Times New Roman"/>
          <w:color w:val="auto"/>
        </w:rPr>
        <w:t>主要环境风险物质</w:t>
      </w:r>
      <w:r>
        <w:rPr>
          <w:rFonts w:hint="default" w:ascii="Times New Roman" w:hAnsi="Times New Roman" w:cs="Times New Roman"/>
          <w:color w:val="auto"/>
          <w:lang w:val="en-US" w:eastAsia="zh-CN"/>
        </w:rPr>
        <w:t>见表</w:t>
      </w:r>
      <w:r>
        <w:rPr>
          <w:rFonts w:hint="default" w:ascii="Times New Roman" w:hAnsi="Times New Roman" w:cs="Times New Roman"/>
          <w:color w:val="auto"/>
        </w:rPr>
        <w:t>3.3-</w:t>
      </w:r>
      <w:r>
        <w:rPr>
          <w:rFonts w:hint="default" w:ascii="Times New Roman" w:hAnsi="Times New Roman" w:cs="Times New Roman"/>
          <w:color w:val="auto"/>
          <w:lang w:val="en-US" w:eastAsia="zh-CN"/>
        </w:rPr>
        <w:t>3，风险物质储存情况</w:t>
      </w:r>
      <w:r>
        <w:rPr>
          <w:rFonts w:hint="default" w:ascii="Times New Roman" w:hAnsi="Times New Roman" w:cs="Times New Roman"/>
          <w:color w:val="auto"/>
        </w:rPr>
        <w:t>见表3.3-</w:t>
      </w:r>
      <w:r>
        <w:rPr>
          <w:rFonts w:hint="default" w:ascii="Times New Roman" w:hAnsi="Times New Roman" w:cs="Times New Roman"/>
          <w:color w:val="auto"/>
          <w:lang w:val="en-US" w:eastAsia="zh-CN"/>
        </w:rPr>
        <w:t>4</w:t>
      </w:r>
      <w:r>
        <w:rPr>
          <w:rFonts w:hint="default" w:ascii="Times New Roman" w:hAnsi="Times New Roman" w:cs="Times New Roman"/>
          <w:color w:val="auto"/>
        </w:rPr>
        <w:t>。</w:t>
      </w:r>
    </w:p>
    <w:p>
      <w:pPr>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表3.3-3 主要环境风险物质一览表</w:t>
      </w:r>
    </w:p>
    <w:bookmarkEnd w:id="52"/>
    <w:bookmarkEnd w:id="53"/>
    <w:bookmarkEnd w:id="54"/>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03"/>
        <w:gridCol w:w="820"/>
        <w:gridCol w:w="1291"/>
        <w:gridCol w:w="1181"/>
        <w:gridCol w:w="1389"/>
        <w:gridCol w:w="26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9"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cs="Times New Roman"/>
                <w:color w:val="auto"/>
              </w:rPr>
            </w:pPr>
            <w:r>
              <w:rPr>
                <w:rFonts w:hint="default" w:ascii="Times New Roman" w:hAnsi="Times New Roman" w:cs="Times New Roman"/>
                <w:color w:val="auto"/>
              </w:rPr>
              <w:t>名称</w:t>
            </w:r>
          </w:p>
        </w:tc>
        <w:tc>
          <w:tcPr>
            <w:tcW w:w="450"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用途</w:t>
            </w:r>
          </w:p>
        </w:tc>
        <w:tc>
          <w:tcPr>
            <w:tcW w:w="708"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储存/包装形式</w:t>
            </w:r>
          </w:p>
        </w:tc>
        <w:tc>
          <w:tcPr>
            <w:tcW w:w="648"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储存位置</w:t>
            </w:r>
          </w:p>
        </w:tc>
        <w:tc>
          <w:tcPr>
            <w:tcW w:w="762"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一次</w:t>
            </w:r>
            <w:r>
              <w:rPr>
                <w:rFonts w:hint="default" w:ascii="Times New Roman" w:hAnsi="Times New Roman" w:cs="Times New Roman"/>
                <w:color w:val="auto"/>
              </w:rPr>
              <w:t>最大储存量</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t</w:t>
            </w:r>
            <w:r>
              <w:rPr>
                <w:rFonts w:hint="default" w:ascii="Times New Roman" w:hAnsi="Times New Roman" w:cs="Times New Roman"/>
                <w:color w:val="auto"/>
                <w:lang w:eastAsia="zh-CN"/>
              </w:rPr>
              <w:t>）</w:t>
            </w:r>
          </w:p>
        </w:tc>
        <w:tc>
          <w:tcPr>
            <w:tcW w:w="1441"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9"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cs="Times New Roman"/>
                <w:color w:val="auto"/>
              </w:rPr>
            </w:pPr>
            <w:r>
              <w:rPr>
                <w:rFonts w:hint="default" w:ascii="Times New Roman" w:hAnsi="Times New Roman" w:cs="Times New Roman"/>
                <w:color w:val="auto"/>
                <w:lang w:val="en-US" w:eastAsia="zh-CN"/>
              </w:rPr>
              <w:t>37% 甲醛</w:t>
            </w:r>
          </w:p>
        </w:tc>
        <w:tc>
          <w:tcPr>
            <w:tcW w:w="450"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产品</w:t>
            </w:r>
          </w:p>
        </w:tc>
        <w:tc>
          <w:tcPr>
            <w:tcW w:w="708"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立式储罐</w:t>
            </w:r>
          </w:p>
        </w:tc>
        <w:tc>
          <w:tcPr>
            <w:tcW w:w="648"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甲醛罐区</w:t>
            </w:r>
          </w:p>
        </w:tc>
        <w:tc>
          <w:tcPr>
            <w:tcW w:w="762"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cs="Times New Roman"/>
                <w:color w:val="auto"/>
                <w:lang w:val="en-US" w:eastAsia="zh-CN"/>
              </w:rPr>
            </w:pPr>
            <w:r>
              <w:rPr>
                <w:rFonts w:hint="eastAsia" w:cs="Times New Roman"/>
                <w:color w:val="auto"/>
                <w:lang w:val="en-US" w:eastAsia="zh-CN"/>
              </w:rPr>
              <w:t>8</w:t>
            </w:r>
            <w:r>
              <w:rPr>
                <w:rFonts w:hint="default" w:ascii="Times New Roman" w:hAnsi="Times New Roman" w:cs="Times New Roman"/>
                <w:color w:val="auto"/>
                <w:lang w:val="en-US" w:eastAsia="zh-CN"/>
              </w:rPr>
              <w:t>00</w:t>
            </w:r>
          </w:p>
        </w:tc>
        <w:tc>
          <w:tcPr>
            <w:tcW w:w="1441"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89"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甲醇</w:t>
            </w:r>
          </w:p>
        </w:tc>
        <w:tc>
          <w:tcPr>
            <w:tcW w:w="450"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lang w:val="en-US" w:eastAsia="zh-CN"/>
              </w:rPr>
              <w:t>原料</w:t>
            </w:r>
          </w:p>
        </w:tc>
        <w:tc>
          <w:tcPr>
            <w:tcW w:w="708"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bCs/>
                <w:color w:val="auto"/>
                <w:kern w:val="2"/>
                <w:sz w:val="21"/>
                <w:szCs w:val="28"/>
                <w:lang w:val="en-US" w:eastAsia="zh-CN" w:bidi="ar-SA"/>
              </w:rPr>
            </w:pPr>
            <w:r>
              <w:rPr>
                <w:rFonts w:hint="default" w:ascii="Times New Roman" w:hAnsi="Times New Roman" w:cs="Times New Roman"/>
                <w:color w:val="auto"/>
                <w:lang w:val="en-US" w:eastAsia="zh-CN"/>
              </w:rPr>
              <w:t>立式储罐</w:t>
            </w:r>
          </w:p>
        </w:tc>
        <w:tc>
          <w:tcPr>
            <w:tcW w:w="648"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甲醇罐区</w:t>
            </w:r>
          </w:p>
        </w:tc>
        <w:tc>
          <w:tcPr>
            <w:tcW w:w="762"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3600</w:t>
            </w:r>
          </w:p>
        </w:tc>
        <w:tc>
          <w:tcPr>
            <w:tcW w:w="1441" w:type="pct"/>
            <w:tcBorders>
              <w:tl2br w:val="nil"/>
              <w:tr2bl w:val="nil"/>
            </w:tcBorders>
            <w:noWrap w:val="0"/>
            <w:vAlign w:val="center"/>
          </w:tcPr>
          <w:p>
            <w:pPr>
              <w:pStyle w:val="6"/>
              <w:bidi w:val="0"/>
              <w:ind w:left="0" w:leftChars="0" w:right="0" w:righ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r>
    </w:tbl>
    <w:p>
      <w:pPr>
        <w:spacing w:line="480" w:lineRule="exact"/>
        <w:ind w:firstLine="480"/>
        <w:jc w:val="center"/>
        <w:rPr>
          <w:rFonts w:hint="default" w:ascii="Times New Roman" w:hAnsi="Times New Roman" w:eastAsia="黑体" w:cs="Times New Roman"/>
          <w:sz w:val="24"/>
          <w:szCs w:val="24"/>
        </w:rPr>
      </w:pPr>
      <w:r>
        <w:rPr>
          <w:rFonts w:hint="default" w:ascii="Times New Roman" w:hAnsi="Times New Roman" w:eastAsia="黑体" w:cs="Times New Roman"/>
          <w:color w:val="auto"/>
          <w:lang w:val="en-US" w:eastAsia="zh-CN"/>
        </w:rPr>
        <w:t>表3.3-4  储罐区物料储存情况表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438"/>
        <w:gridCol w:w="687"/>
        <w:gridCol w:w="1061"/>
        <w:gridCol w:w="1755"/>
        <w:gridCol w:w="1445"/>
        <w:gridCol w:w="1032"/>
        <w:gridCol w:w="438"/>
        <w:gridCol w:w="1053"/>
        <w:gridCol w:w="11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40" w:hRule="atLeast"/>
          <w:tblHeader/>
          <w:jc w:val="center"/>
        </w:trPr>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38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位置</w:t>
            </w:r>
          </w:p>
        </w:tc>
        <w:tc>
          <w:tcPr>
            <w:tcW w:w="58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97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型式</w:t>
            </w:r>
          </w:p>
        </w:tc>
        <w:tc>
          <w:tcPr>
            <w:tcW w:w="8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尺寸（m）</w:t>
            </w:r>
          </w:p>
        </w:tc>
        <w:tc>
          <w:tcPr>
            <w:tcW w:w="5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容积（m³）</w:t>
            </w:r>
          </w:p>
        </w:tc>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数量</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储存量（t）</w:t>
            </w:r>
          </w:p>
        </w:tc>
        <w:tc>
          <w:tcPr>
            <w:tcW w:w="6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周转周期(天)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40" w:hRule="atLeast"/>
          <w:tblHeader/>
          <w:jc w:val="center"/>
        </w:trPr>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38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甲醇</w:t>
            </w:r>
          </w:p>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罐区</w:t>
            </w:r>
          </w:p>
        </w:tc>
        <w:tc>
          <w:tcPr>
            <w:tcW w:w="58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甲醇储罐</w:t>
            </w:r>
          </w:p>
        </w:tc>
        <w:tc>
          <w:tcPr>
            <w:tcW w:w="97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立式内浮顶，氮封</w:t>
            </w:r>
          </w:p>
        </w:tc>
        <w:tc>
          <w:tcPr>
            <w:tcW w:w="8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Φ18m×16m</w:t>
            </w:r>
          </w:p>
        </w:tc>
        <w:tc>
          <w:tcPr>
            <w:tcW w:w="5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4000</w:t>
            </w:r>
          </w:p>
        </w:tc>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1200</w:t>
            </w:r>
          </w:p>
        </w:tc>
        <w:tc>
          <w:tcPr>
            <w:tcW w:w="6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40" w:hRule="atLeast"/>
          <w:tblHeader/>
          <w:jc w:val="center"/>
        </w:trPr>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38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p>
        </w:tc>
        <w:tc>
          <w:tcPr>
            <w:tcW w:w="58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甲醇储罐</w:t>
            </w:r>
          </w:p>
        </w:tc>
        <w:tc>
          <w:tcPr>
            <w:tcW w:w="97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立式内浮顶，氮封</w:t>
            </w:r>
          </w:p>
        </w:tc>
        <w:tc>
          <w:tcPr>
            <w:tcW w:w="8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Φ18m×16m</w:t>
            </w:r>
          </w:p>
        </w:tc>
        <w:tc>
          <w:tcPr>
            <w:tcW w:w="5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4000</w:t>
            </w:r>
          </w:p>
        </w:tc>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1200</w:t>
            </w:r>
          </w:p>
        </w:tc>
        <w:tc>
          <w:tcPr>
            <w:tcW w:w="6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40" w:hRule="atLeast"/>
          <w:tblHeader/>
          <w:jc w:val="center"/>
        </w:trPr>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38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p>
        </w:tc>
        <w:tc>
          <w:tcPr>
            <w:tcW w:w="58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甲醇储罐</w:t>
            </w:r>
          </w:p>
        </w:tc>
        <w:tc>
          <w:tcPr>
            <w:tcW w:w="97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立式内浮顶，氮封</w:t>
            </w:r>
          </w:p>
        </w:tc>
        <w:tc>
          <w:tcPr>
            <w:tcW w:w="8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Φ18m×16m</w:t>
            </w:r>
          </w:p>
        </w:tc>
        <w:tc>
          <w:tcPr>
            <w:tcW w:w="5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4000</w:t>
            </w:r>
          </w:p>
        </w:tc>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1200</w:t>
            </w:r>
          </w:p>
        </w:tc>
        <w:tc>
          <w:tcPr>
            <w:tcW w:w="6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40" w:hRule="atLeast"/>
          <w:tblHeader/>
          <w:jc w:val="center"/>
        </w:trPr>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4</w:t>
            </w:r>
          </w:p>
        </w:tc>
        <w:tc>
          <w:tcPr>
            <w:tcW w:w="38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甲醛</w:t>
            </w:r>
          </w:p>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罐区</w:t>
            </w:r>
          </w:p>
        </w:tc>
        <w:tc>
          <w:tcPr>
            <w:tcW w:w="58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甲醛储罐</w:t>
            </w:r>
          </w:p>
        </w:tc>
        <w:tc>
          <w:tcPr>
            <w:tcW w:w="97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立式内浮顶，氮封</w:t>
            </w:r>
          </w:p>
        </w:tc>
        <w:tc>
          <w:tcPr>
            <w:tcW w:w="8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Φ15m×17m</w:t>
            </w:r>
          </w:p>
        </w:tc>
        <w:tc>
          <w:tcPr>
            <w:tcW w:w="5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3000</w:t>
            </w:r>
          </w:p>
        </w:tc>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400</w:t>
            </w:r>
          </w:p>
        </w:tc>
        <w:tc>
          <w:tcPr>
            <w:tcW w:w="6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40" w:hRule="atLeast"/>
          <w:tblHeader/>
          <w:jc w:val="center"/>
        </w:trPr>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5</w:t>
            </w:r>
          </w:p>
        </w:tc>
        <w:tc>
          <w:tcPr>
            <w:tcW w:w="381"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p>
        </w:tc>
        <w:tc>
          <w:tcPr>
            <w:tcW w:w="58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甲醛储罐</w:t>
            </w:r>
          </w:p>
        </w:tc>
        <w:tc>
          <w:tcPr>
            <w:tcW w:w="97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立式内浮顶，氮封</w:t>
            </w:r>
          </w:p>
        </w:tc>
        <w:tc>
          <w:tcPr>
            <w:tcW w:w="8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Φ15m×17m</w:t>
            </w:r>
          </w:p>
        </w:tc>
        <w:tc>
          <w:tcPr>
            <w:tcW w:w="57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3000</w:t>
            </w:r>
          </w:p>
        </w:tc>
        <w:tc>
          <w:tcPr>
            <w:tcW w:w="2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5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400</w:t>
            </w:r>
          </w:p>
        </w:tc>
        <w:tc>
          <w:tcPr>
            <w:tcW w:w="6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1</w:t>
            </w:r>
          </w:p>
        </w:tc>
      </w:tr>
    </w:tbl>
    <w:p>
      <w:pPr>
        <w:pStyle w:val="5"/>
        <w:bidi w:val="0"/>
        <w:rPr>
          <w:rFonts w:hint="default" w:ascii="Times New Roman" w:hAnsi="Times New Roman" w:cs="Times New Roman"/>
          <w:color w:val="000000"/>
        </w:rPr>
      </w:pPr>
      <w:r>
        <w:rPr>
          <w:rFonts w:hint="default" w:ascii="Times New Roman" w:hAnsi="Times New Roman" w:cs="Times New Roman"/>
          <w:color w:val="000000"/>
        </w:rPr>
        <w:t>3.3.</w:t>
      </w:r>
      <w:r>
        <w:rPr>
          <w:rFonts w:hint="eastAsia" w:ascii="Times New Roman" w:hAnsi="Times New Roman" w:cs="Times New Roman"/>
          <w:color w:val="000000"/>
          <w:lang w:val="en-US" w:eastAsia="zh-CN"/>
        </w:rPr>
        <w:t>3</w:t>
      </w:r>
      <w:r>
        <w:rPr>
          <w:rFonts w:hint="default" w:ascii="Times New Roman" w:hAnsi="Times New Roman" w:cs="Times New Roman"/>
          <w:color w:val="000000"/>
        </w:rPr>
        <w:t xml:space="preserve"> 环境风险物质理化性质</w:t>
      </w:r>
    </w:p>
    <w:p>
      <w:pPr>
        <w:bidi w:val="0"/>
        <w:rPr>
          <w:rFonts w:hint="default" w:ascii="Times New Roman" w:hAnsi="Times New Roman" w:cs="Times New Roman"/>
          <w:color w:val="000000"/>
        </w:rPr>
      </w:pPr>
      <w:bookmarkStart w:id="55" w:name="_Hlk510019960"/>
      <w:bookmarkStart w:id="56" w:name="_Toc444522065"/>
      <w:r>
        <w:rPr>
          <w:rFonts w:hint="default" w:ascii="Times New Roman" w:hAnsi="Times New Roman" w:cs="Times New Roman"/>
          <w:color w:val="000000"/>
        </w:rPr>
        <w:t>主要环境风险物质理化性质见表3.3-</w:t>
      </w:r>
      <w:r>
        <w:rPr>
          <w:rFonts w:hint="eastAsia" w:ascii="Times New Roman" w:hAnsi="Times New Roman" w:cs="Times New Roman"/>
          <w:color w:val="000000"/>
          <w:lang w:val="en-US" w:eastAsia="zh-CN"/>
        </w:rPr>
        <w:t>5</w:t>
      </w:r>
      <w:r>
        <w:rPr>
          <w:rFonts w:hint="default" w:ascii="Times New Roman" w:hAnsi="Times New Roman" w:cs="Times New Roman"/>
          <w:color w:val="000000"/>
        </w:rPr>
        <w:t>。</w:t>
      </w:r>
    </w:p>
    <w:p>
      <w:pPr>
        <w:pStyle w:val="36"/>
        <w:bidi w:val="0"/>
        <w:rPr>
          <w:rFonts w:hint="default" w:ascii="Times New Roman" w:hAnsi="Times New Roman" w:cs="Times New Roman"/>
          <w:color w:val="auto"/>
          <w:lang w:val="en-US" w:eastAsia="zh-CN"/>
        </w:rPr>
      </w:pPr>
      <w:r>
        <w:rPr>
          <w:rFonts w:hint="default" w:ascii="Times New Roman" w:hAnsi="Times New Roman" w:eastAsia="黑体" w:cs="Times New Roman"/>
          <w:color w:val="auto"/>
          <w:lang w:val="en-US" w:eastAsia="zh-CN"/>
        </w:rPr>
        <w:t>表</w:t>
      </w:r>
      <w:r>
        <w:rPr>
          <w:rFonts w:hint="default" w:ascii="Times New Roman" w:hAnsi="Times New Roman" w:cs="Times New Roman"/>
          <w:color w:val="auto"/>
          <w:lang w:val="en-US" w:eastAsia="zh-CN"/>
        </w:rPr>
        <w:t>3.3-</w:t>
      </w:r>
      <w:r>
        <w:rPr>
          <w:rFonts w:hint="eastAsia" w:ascii="Times New Roman" w:hAnsi="Times New Roman" w:cs="Times New Roman"/>
          <w:color w:val="auto"/>
          <w:lang w:val="en-US" w:eastAsia="zh-CN"/>
        </w:rPr>
        <w:t>5</w:t>
      </w:r>
      <w:r>
        <w:rPr>
          <w:rFonts w:hint="default" w:ascii="Times New Roman" w:hAnsi="Times New Roman" w:cs="Times New Roman"/>
          <w:color w:val="auto"/>
          <w:lang w:val="en-US" w:eastAsia="zh-CN"/>
        </w:rPr>
        <w:t>.1</w:t>
      </w:r>
      <w:r>
        <w:rPr>
          <w:rFonts w:hint="default" w:ascii="Times New Roman" w:hAnsi="Times New Roman" w:eastAsia="黑体" w:cs="Times New Roman"/>
          <w:color w:val="auto"/>
          <w:lang w:val="en-US" w:eastAsia="zh-CN"/>
        </w:rPr>
        <w:t xml:space="preserve"> </w:t>
      </w:r>
      <w:r>
        <w:rPr>
          <w:rFonts w:hint="default" w:ascii="Times New Roman" w:hAnsi="Times New Roman" w:cs="Times New Roman"/>
          <w:color w:val="auto"/>
          <w:lang w:val="en-US" w:eastAsia="zh-CN"/>
        </w:rPr>
        <w:t>甲醛</w:t>
      </w:r>
      <w:r>
        <w:rPr>
          <w:rFonts w:hint="default" w:ascii="Times New Roman" w:hAnsi="Times New Roman" w:cs="Times New Roman"/>
          <w:color w:val="auto"/>
        </w:rPr>
        <w:t>的理化性质及危险特性</w:t>
      </w:r>
      <w:r>
        <w:rPr>
          <w:rFonts w:hint="default" w:ascii="Times New Roman" w:hAnsi="Times New Roman" w:cs="Times New Roman"/>
          <w:color w:val="auto"/>
          <w:lang w:val="en-US" w:eastAsia="zh-CN"/>
        </w:rPr>
        <w:t>一览表</w:t>
      </w:r>
    </w:p>
    <w:tbl>
      <w:tblPr>
        <w:tblStyle w:val="2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77"/>
        <w:gridCol w:w="1915"/>
        <w:gridCol w:w="2679"/>
        <w:gridCol w:w="1238"/>
        <w:gridCol w:w="24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英文名</w:t>
            </w:r>
          </w:p>
        </w:tc>
        <w:tc>
          <w:tcPr>
            <w:tcW w:w="1049"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Methanal</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solution</w:t>
            </w:r>
          </w:p>
        </w:tc>
        <w:tc>
          <w:tcPr>
            <w:tcW w:w="1469"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中文名称</w:t>
            </w:r>
          </w:p>
        </w:tc>
        <w:tc>
          <w:tcPr>
            <w:tcW w:w="1999" w:type="pct"/>
            <w:gridSpan w:val="2"/>
            <w:tcBorders>
              <w:tl2br w:val="nil"/>
              <w:tr2bl w:val="nil"/>
            </w:tcBorders>
            <w:noWrap w:val="0"/>
            <w:vAlign w:val="center"/>
          </w:tcPr>
          <w:p>
            <w:pPr>
              <w:pStyle w:val="37"/>
              <w:bidi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分子式</w:t>
            </w:r>
          </w:p>
        </w:tc>
        <w:tc>
          <w:tcPr>
            <w:tcW w:w="1049"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rPr>
              <w:t>OH</w:t>
            </w:r>
          </w:p>
        </w:tc>
        <w:tc>
          <w:tcPr>
            <w:tcW w:w="1469"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外观与性状</w:t>
            </w:r>
          </w:p>
        </w:tc>
        <w:tc>
          <w:tcPr>
            <w:tcW w:w="1999" w:type="pct"/>
            <w:gridSpan w:val="2"/>
            <w:tcBorders>
              <w:tl2br w:val="nil"/>
              <w:tr2bl w:val="nil"/>
            </w:tcBorders>
            <w:noWrap w:val="0"/>
            <w:vAlign w:val="top"/>
          </w:tcPr>
          <w:p>
            <w:pPr>
              <w:pStyle w:val="37"/>
              <w:bidi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无色水溶液或气体。有刺激性气味。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分子量</w:t>
            </w:r>
          </w:p>
        </w:tc>
        <w:tc>
          <w:tcPr>
            <w:tcW w:w="1049"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30.03</w:t>
            </w:r>
          </w:p>
        </w:tc>
        <w:tc>
          <w:tcPr>
            <w:tcW w:w="1469"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饱和蒸汽压</w:t>
            </w:r>
          </w:p>
        </w:tc>
        <w:tc>
          <w:tcPr>
            <w:tcW w:w="1999" w:type="pct"/>
            <w:gridSpan w:val="2"/>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13.33(</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57.3°C)kPa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熔点</w:t>
            </w:r>
          </w:p>
        </w:tc>
        <w:tc>
          <w:tcPr>
            <w:tcW w:w="1049"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92</w:t>
            </w:r>
            <w:r>
              <w:rPr>
                <w:rFonts w:hint="default" w:ascii="Times New Roman" w:hAnsi="Times New Roman" w:eastAsia="宋体" w:cs="Times New Roman"/>
                <w:color w:val="auto"/>
                <w:sz w:val="21"/>
                <w:szCs w:val="21"/>
              </w:rPr>
              <w:t>℃</w:t>
            </w:r>
          </w:p>
        </w:tc>
        <w:tc>
          <w:tcPr>
            <w:tcW w:w="1469"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溶解性</w:t>
            </w:r>
          </w:p>
        </w:tc>
        <w:tc>
          <w:tcPr>
            <w:tcW w:w="1999" w:type="pct"/>
            <w:gridSpan w:val="2"/>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易溶</w:t>
            </w:r>
            <w:r>
              <w:rPr>
                <w:rFonts w:hint="default" w:ascii="Times New Roman" w:hAnsi="Times New Roman" w:eastAsia="宋体" w:cs="Times New Roman"/>
                <w:color w:val="auto"/>
                <w:sz w:val="21"/>
                <w:szCs w:val="21"/>
                <w:lang w:val="en-US" w:eastAsia="zh-CN"/>
              </w:rPr>
              <w:t>于</w:t>
            </w:r>
            <w:r>
              <w:rPr>
                <w:rFonts w:hint="default" w:ascii="Times New Roman" w:hAnsi="Times New Roman" w:eastAsia="宋体" w:cs="Times New Roman"/>
                <w:color w:val="auto"/>
                <w:sz w:val="21"/>
                <w:szCs w:val="21"/>
              </w:rPr>
              <w:t>水，溶</w:t>
            </w:r>
            <w:r>
              <w:rPr>
                <w:rFonts w:hint="default" w:ascii="Times New Roman" w:hAnsi="Times New Roman" w:eastAsia="宋体" w:cs="Times New Roman"/>
                <w:color w:val="auto"/>
                <w:sz w:val="21"/>
                <w:szCs w:val="21"/>
                <w:lang w:val="en-US" w:eastAsia="zh-CN"/>
              </w:rPr>
              <w:t>于</w:t>
            </w:r>
            <w:r>
              <w:rPr>
                <w:rFonts w:hint="default" w:ascii="Times New Roman" w:hAnsi="Times New Roman" w:eastAsia="宋体" w:cs="Times New Roman"/>
                <w:color w:val="auto"/>
                <w:sz w:val="21"/>
                <w:szCs w:val="21"/>
              </w:rPr>
              <w:t>乙醇等多数有机溶剂。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1" w:type="pct"/>
            <w:gridSpan w:val="2"/>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相对密度（水＝1)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0.816</w:t>
            </w:r>
          </w:p>
        </w:tc>
        <w:tc>
          <w:tcPr>
            <w:tcW w:w="1469" w:type="pct"/>
            <w:tcBorders>
              <w:tl2br w:val="nil"/>
              <w:tr2bl w:val="nil"/>
            </w:tcBorders>
            <w:noWrap w:val="0"/>
            <w:vAlign w:val="top"/>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临界温度℃</w:t>
            </w:r>
          </w:p>
        </w:tc>
        <w:tc>
          <w:tcPr>
            <w:tcW w:w="679" w:type="pct"/>
            <w:tcBorders>
              <w:tl2br w:val="nil"/>
              <w:tr2bl w:val="nil"/>
            </w:tcBorders>
            <w:noWrap w:val="0"/>
            <w:vAlign w:val="top"/>
          </w:tcPr>
          <w:p>
            <w:pPr>
              <w:pStyle w:val="37"/>
              <w:bidi w:val="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137.2</w:t>
            </w:r>
          </w:p>
        </w:tc>
        <w:tc>
          <w:tcPr>
            <w:tcW w:w="1320" w:type="pct"/>
            <w:tcBorders>
              <w:tl2br w:val="nil"/>
              <w:tr2bl w:val="nil"/>
            </w:tcBorders>
            <w:noWrap w:val="0"/>
            <w:vAlign w:val="top"/>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沸点：</w:t>
            </w:r>
            <w:r>
              <w:rPr>
                <w:rFonts w:hint="default" w:ascii="Times New Roman" w:hAnsi="Times New Roman" w:eastAsia="宋体" w:cs="Times New Roman"/>
                <w:color w:val="auto"/>
                <w:sz w:val="21"/>
                <w:szCs w:val="21"/>
                <w:lang w:val="en-US" w:eastAsia="zh-CN"/>
              </w:rPr>
              <w:t>-19.4</w:t>
            </w:r>
            <w:r>
              <w:rPr>
                <w:rFonts w:hint="default" w:ascii="Times New Roman" w:hAnsi="Times New Roman" w:eastAsia="宋体" w:cs="Times New Roman"/>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531" w:type="pct"/>
            <w:gridSpan w:val="2"/>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相对密度（空气＝1)</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1.067</w:t>
            </w:r>
          </w:p>
        </w:tc>
        <w:tc>
          <w:tcPr>
            <w:tcW w:w="1469" w:type="pct"/>
            <w:tcBorders>
              <w:tl2br w:val="nil"/>
              <w:tr2bl w:val="nil"/>
            </w:tcBorders>
            <w:noWrap w:val="0"/>
            <w:vAlign w:val="top"/>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临界压力MPa</w:t>
            </w:r>
          </w:p>
        </w:tc>
        <w:tc>
          <w:tcPr>
            <w:tcW w:w="1999" w:type="pct"/>
            <w:gridSpan w:val="2"/>
            <w:tcBorders>
              <w:tl2br w:val="nil"/>
              <w:tr2bl w:val="nil"/>
            </w:tcBorders>
            <w:noWrap w:val="0"/>
            <w:vAlign w:val="top"/>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6.81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vMerge w:val="restar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毒性与危害</w:t>
            </w:r>
          </w:p>
        </w:tc>
        <w:tc>
          <w:tcPr>
            <w:tcW w:w="1049"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接触限值</w:t>
            </w:r>
          </w:p>
        </w:tc>
        <w:tc>
          <w:tcPr>
            <w:tcW w:w="3468" w:type="pct"/>
            <w:gridSpan w:val="3"/>
            <w:tcBorders>
              <w:tl2br w:val="nil"/>
              <w:tr2bl w:val="nil"/>
            </w:tcBorders>
            <w:noWrap w:val="0"/>
            <w:vAlign w:val="top"/>
          </w:tcPr>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中国MAC(mg/m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):3</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前苏联MAC(mg/m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):0.5</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美国TWA:OSHA</w:t>
            </w:r>
            <w:r>
              <w:rPr>
                <w:rFonts w:hint="default" w:ascii="Times New Roman" w:hAnsi="Times New Roman" w:eastAsia="宋体" w:cs="Times New Roman"/>
                <w:color w:val="auto"/>
                <w:sz w:val="21"/>
                <w:szCs w:val="21"/>
              </w:rPr>
              <w:tab/>
            </w:r>
            <w:r>
              <w:rPr>
                <w:rFonts w:hint="default" w:ascii="Times New Roman" w:hAnsi="Times New Roman" w:eastAsia="宋体" w:cs="Times New Roman"/>
                <w:color w:val="auto"/>
                <w:sz w:val="21"/>
                <w:szCs w:val="21"/>
              </w:rPr>
              <w:t>3ppm</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美国STEL:ACGIH</w:t>
            </w:r>
            <w:r>
              <w:rPr>
                <w:rFonts w:hint="default" w:ascii="Times New Roman" w:hAnsi="Times New Roman" w:eastAsia="宋体" w:cs="Times New Roman"/>
                <w:color w:val="auto"/>
                <w:sz w:val="21"/>
                <w:szCs w:val="21"/>
              </w:rPr>
              <w:tab/>
            </w:r>
            <w:r>
              <w:rPr>
                <w:rFonts w:hint="default" w:ascii="Times New Roman" w:hAnsi="Times New Roman" w:eastAsia="宋体" w:cs="Times New Roman"/>
                <w:color w:val="auto"/>
                <w:sz w:val="21"/>
                <w:szCs w:val="21"/>
              </w:rPr>
              <w:t>0.3ppm,O.37mg/m</w:t>
            </w:r>
            <w:r>
              <w:rPr>
                <w:rFonts w:hint="default" w:ascii="Times New Roman" w:hAnsi="Times New Roman" w:eastAsia="宋体" w:cs="Times New Roman"/>
                <w:color w:val="auto"/>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vMerge w:val="continue"/>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p>
        </w:tc>
        <w:tc>
          <w:tcPr>
            <w:tcW w:w="4518" w:type="pct"/>
            <w:gridSpan w:val="4"/>
            <w:tcBorders>
              <w:tl2br w:val="nil"/>
              <w:tr2bl w:val="nil"/>
            </w:tcBorders>
            <w:noWrap w:val="0"/>
            <w:vAlign w:val="center"/>
          </w:tcPr>
          <w:p>
            <w:pPr>
              <w:pStyle w:val="37"/>
              <w:bidi w:val="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侵入途径：吸入、食入、经皮吸收。</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健康危害：本品对粘膜、上呼吸道、眼睛和皮肤有强烈刺激性。接触其蒸气，引起结膜炎、角膜炎、鼻炎、支气管炎；重者发生喉痉挛、声门水肿和肺炎等。肺水肿较少见。对皮肤有原发性刺激和致敏作用，可致皮炎；浓溶液可引起皮肤凝固性坏死。口服灼伤口腔和消化道，可发生胃肠道穿孔，休克，肾和肝脏损害。慢性影响：长期接触低浓度甲醉可有轻度眼、鼻、咽喉刺激症状，皮肤干燥、翍裂、甲软化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危险特性</w:t>
            </w:r>
          </w:p>
        </w:tc>
        <w:tc>
          <w:tcPr>
            <w:tcW w:w="4518" w:type="pct"/>
            <w:gridSpan w:val="4"/>
            <w:tcBorders>
              <w:tl2br w:val="nil"/>
              <w:tr2bl w:val="nil"/>
            </w:tcBorders>
            <w:noWrap w:val="0"/>
            <w:vAlign w:val="center"/>
          </w:tcPr>
          <w:p>
            <w:pPr>
              <w:pStyle w:val="37"/>
              <w:bidi w:val="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燃烧性</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易燃</w:t>
            </w:r>
            <w:r>
              <w:rPr>
                <w:rFonts w:hint="default" w:ascii="Times New Roman" w:hAnsi="Times New Roman" w:eastAsia="宋体" w:cs="Times New Roman"/>
                <w:color w:val="auto"/>
                <w:sz w:val="21"/>
                <w:szCs w:val="21"/>
                <w:lang w:eastAsia="zh-CN"/>
              </w:rPr>
              <w:t>；燃烧性：易燃；闪点</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：50(37%)；</w:t>
            </w:r>
          </w:p>
          <w:p>
            <w:pPr>
              <w:pStyle w:val="37"/>
              <w:bidi w:val="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引燃温度</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：30；爆炸极限％：7.073.0%</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危险特性</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其蒸气与空气形成爆炸性混合物，遇明火、高热能引起燃烧爆炸。若遇高热，容器内压增大，有开裂和爆炸的危险。与氧化剂接触猛烈反应。</w:t>
            </w:r>
          </w:p>
          <w:p>
            <w:pPr>
              <w:pStyle w:val="37"/>
              <w:bidi w:val="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燃烧分解产物：一氧化碳、二氧化碳。</w:t>
            </w:r>
          </w:p>
          <w:p>
            <w:pPr>
              <w:pStyle w:val="37"/>
              <w:bidi w:val="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稳定性：不稳定</w:t>
            </w:r>
          </w:p>
          <w:p>
            <w:pPr>
              <w:pStyle w:val="37"/>
              <w:bidi w:val="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禁忌物：强还原剂、强氧化剂、强酸、强碱。</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泄漏应急处理</w:t>
            </w:r>
          </w:p>
        </w:tc>
        <w:tc>
          <w:tcPr>
            <w:tcW w:w="4518" w:type="pct"/>
            <w:gridSpan w:val="4"/>
            <w:tcBorders>
              <w:tl2br w:val="nil"/>
              <w:tr2bl w:val="nil"/>
            </w:tcBorders>
            <w:noWrap w:val="0"/>
            <w:vAlign w:val="center"/>
          </w:tcPr>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迅速撤离泄漏污染区人员到安全区，并进行隔离，严格限制出入。切断火源。建议应急处理人员戴自给正压式呼吸器，穿防毒服。从上风处进入现场。尽可能切断泄漏源。防止进入下水道、排洪沟等限制性空间。小量泄漏：用砂土或其他不燃材料吸附或吸收。也可用大量水冲洗，洗水稀释后放入废水系统。大量泄漏：构筑围堤或挖坑收容。用泡沫覆盖，降低蒸气灾害。 喷雾状水冷却容器和稀释蒸气，保护现场人员、把泄漏物稀释成不燃物。 用泵转移至槽车或专用收集器内， 回收或运至废物处理场所处置。 用防爆泵转移至槽车或专用收集器内， 回收或运至废物处理场所处置。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防护措施</w:t>
            </w:r>
          </w:p>
        </w:tc>
        <w:tc>
          <w:tcPr>
            <w:tcW w:w="4518" w:type="pct"/>
            <w:gridSpan w:val="4"/>
            <w:tcBorders>
              <w:tl2br w:val="nil"/>
              <w:tr2bl w:val="nil"/>
            </w:tcBorders>
            <w:noWrap w:val="0"/>
            <w:vAlign w:val="center"/>
          </w:tcPr>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工程控制：严加密闭，提供充分的局部排风。提供安全淋浴和洗眼设备。</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呼吸系统防护：可能接触其蒸气时，建议佩戴自吸过滤式防毒面具（全面罩）。紧急事态抢救或撤离时，佩戴隔离式呼吸器。</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眼睛防护：呼吸系统中已作防护。</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身体防护：穿橡胶耐酸碱服。</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手防护：戴橡胶手套。</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其他：工作现场严禁吸烟、进食和饮水。工作毕，彻底清洗。注意个人清洁卫生。实行就业前和定期的体检。进入罐、限制性空间或其它高浓度区作业，须有人监护。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急救措施</w:t>
            </w:r>
          </w:p>
        </w:tc>
        <w:tc>
          <w:tcPr>
            <w:tcW w:w="4518" w:type="pct"/>
            <w:gridSpan w:val="4"/>
            <w:tcBorders>
              <w:tl2br w:val="nil"/>
              <w:tr2bl w:val="nil"/>
            </w:tcBorders>
            <w:noWrap w:val="0"/>
            <w:vAlign w:val="center"/>
          </w:tcPr>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皮肤接触：脱去被污染的衣着，用大量流动清水冲洗，至少15分钟。就医。</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眼睛接触：提起眼睑，用流动清水或生理盐水彻底冲洗至少15分钟。就医。</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吸入：迅速脱离现场至空气新鲜处。保持呼吸道通畅。如呼吸困难，给输氧。如呼吸停止，立即进行人工呼吸，就医。</w:t>
            </w:r>
          </w:p>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食入：用1%碘化钾60ml洗胃。常规洗胃。就医。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81" w:type="pct"/>
            <w:tcBorders>
              <w:tl2br w:val="nil"/>
              <w:tr2bl w:val="nil"/>
            </w:tcBorders>
            <w:noWrap w:val="0"/>
            <w:vAlign w:val="center"/>
          </w:tcPr>
          <w:p>
            <w:pPr>
              <w:pStyle w:val="37"/>
              <w:bidi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灭火方法</w:t>
            </w:r>
          </w:p>
        </w:tc>
        <w:tc>
          <w:tcPr>
            <w:tcW w:w="4518" w:type="pct"/>
            <w:gridSpan w:val="4"/>
            <w:tcBorders>
              <w:tl2br w:val="nil"/>
              <w:tr2bl w:val="nil"/>
            </w:tcBorders>
            <w:noWrap w:val="0"/>
            <w:vAlign w:val="center"/>
          </w:tcPr>
          <w:p>
            <w:pPr>
              <w:pStyle w:val="37"/>
              <w:bidi w:val="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用雾状水保持火场容器冷却，用水喷射逸出液体，使其稀释成不燃性混合物，并用雾状水保护消防人员。灭火剂：雾状水、抗溶性泡沫、干粉、二氧化碳、砂土。</w:t>
            </w:r>
          </w:p>
        </w:tc>
      </w:tr>
    </w:tbl>
    <w:p>
      <w:pPr>
        <w:pStyle w:val="36"/>
        <w:bidi w:val="0"/>
        <w:rPr>
          <w:rFonts w:hint="default" w:ascii="Times New Roman" w:hAnsi="Times New Roman" w:cs="Times New Roman"/>
          <w:bCs/>
          <w:lang w:val="en-US" w:eastAsia="zh-CN"/>
        </w:rPr>
      </w:pPr>
      <w:r>
        <w:rPr>
          <w:rFonts w:hint="default" w:ascii="Times New Roman" w:hAnsi="Times New Roman" w:cs="Times New Roman"/>
          <w:bCs/>
          <w:lang w:val="en-US" w:eastAsia="zh-CN"/>
        </w:rPr>
        <w:t>表3.3-</w:t>
      </w:r>
      <w:r>
        <w:rPr>
          <w:rFonts w:hint="eastAsia" w:ascii="Times New Roman" w:hAnsi="Times New Roman" w:cs="Times New Roman"/>
          <w:bCs/>
          <w:lang w:val="en-US" w:eastAsia="zh-CN"/>
        </w:rPr>
        <w:t>5</w:t>
      </w:r>
      <w:r>
        <w:rPr>
          <w:rFonts w:hint="default" w:ascii="Times New Roman" w:hAnsi="Times New Roman" w:cs="Times New Roman"/>
          <w:bCs/>
          <w:lang w:val="en-US" w:eastAsia="zh-CN"/>
        </w:rPr>
        <w:t xml:space="preserve">.2 </w:t>
      </w:r>
      <w:r>
        <w:rPr>
          <w:rFonts w:hint="default" w:ascii="Times New Roman" w:hAnsi="Times New Roman" w:cs="Times New Roman"/>
          <w:color w:val="auto"/>
          <w:lang w:val="en-US" w:eastAsia="zh-CN"/>
        </w:rPr>
        <w:t>甲醇</w:t>
      </w:r>
      <w:r>
        <w:rPr>
          <w:rFonts w:hint="default" w:ascii="Times New Roman" w:hAnsi="Times New Roman" w:cs="Times New Roman"/>
          <w:color w:val="auto"/>
        </w:rPr>
        <w:t>的理化性质及危险特性</w:t>
      </w:r>
      <w:r>
        <w:rPr>
          <w:rFonts w:hint="default" w:ascii="Times New Roman" w:hAnsi="Times New Roman" w:cs="Times New Roman"/>
          <w:color w:val="auto"/>
          <w:lang w:val="en-US" w:eastAsia="zh-CN"/>
        </w:rPr>
        <w:t>一览表</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82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7" w:type="pct"/>
            <w:tcBorders>
              <w:tl2br w:val="nil"/>
              <w:tr2bl w:val="nil"/>
            </w:tcBorders>
            <w:noWrap w:val="0"/>
            <w:vAlign w:val="center"/>
          </w:tcPr>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特别警示</w:t>
            </w:r>
          </w:p>
        </w:tc>
        <w:tc>
          <w:tcPr>
            <w:tcW w:w="4512" w:type="pct"/>
            <w:tcBorders>
              <w:tl2br w:val="nil"/>
              <w:tr2bl w:val="nil"/>
            </w:tcBorders>
            <w:noWrap w:val="0"/>
            <w:vAlign w:val="center"/>
          </w:tcPr>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有毒液体，可引起失明、死亡。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7" w:type="pct"/>
            <w:tcBorders>
              <w:tl2br w:val="nil"/>
              <w:tr2bl w:val="nil"/>
            </w:tcBorders>
            <w:noWrap w:val="0"/>
            <w:vAlign w:val="center"/>
          </w:tcPr>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理化</w:t>
            </w:r>
          </w:p>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特性</w:t>
            </w:r>
          </w:p>
        </w:tc>
        <w:tc>
          <w:tcPr>
            <w:tcW w:w="4512" w:type="pct"/>
            <w:tcBorders>
              <w:tl2br w:val="nil"/>
              <w:tr2bl w:val="nil"/>
            </w:tcBorders>
            <w:noWrap w:val="0"/>
            <w:vAlign w:val="center"/>
          </w:tcPr>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无色透明的易挥发液体，有刺激性气味。溶于水，可混溶于乙醇、乙醚、酮类、苯等有机溶剂。分子量32.04，熔点-97.8℃，沸点64.7℃，相对密度（水=1）0.79，相对蒸气密度（空气=1）1.1，临界压力7.95MPa，临界温度240℃，饱和蒸气压12.26kPa(20℃)，折射率1.3288，闪点11℃，爆炸极限5.5%～44.0%（体积比），自燃温度464℃，最小点火能0.215mJ。</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主要用途：主要用于制甲醛、香精、染料、医药、火药、防冻剂、溶剂等。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7" w:type="pct"/>
            <w:tcBorders>
              <w:tl2br w:val="nil"/>
              <w:tr2bl w:val="nil"/>
            </w:tcBorders>
            <w:noWrap w:val="0"/>
            <w:vAlign w:val="center"/>
          </w:tcPr>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危害</w:t>
            </w:r>
          </w:p>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信息</w:t>
            </w:r>
          </w:p>
        </w:tc>
        <w:tc>
          <w:tcPr>
            <w:tcW w:w="4512" w:type="pct"/>
            <w:tcBorders>
              <w:tl2br w:val="nil"/>
              <w:tr2bl w:val="nil"/>
            </w:tcBorders>
            <w:noWrap w:val="0"/>
            <w:vAlign w:val="center"/>
          </w:tcPr>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【燃烧和爆炸危险性】</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高度易燃，蒸气与空气能形成爆炸性混合物，遇明火、高热能引起燃烧爆炸。蒸气比空气重，能在较低处扩散到相当远的地方，遇火源会着火回燃和爆炸。</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【健康危害】</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易经胃肠道、呼吸道和皮肤吸收。</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急性中毒：表现为头痛、眩晕、乏力、嗜睡和轻度意识障碍等，重者出现昏迷和癫痫样抽搐，直至死亡。引起代谢性酸中毒。甲醇可致视神经损害，重者引起失明。</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慢性影响：主要为神经系统症状，有头晕、无力、眩晕、震颤性麻痹及视觉损害。皮肤反复接触甲醇溶液，可引起局部脱脂和皮炎。</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解毒剂：口服乙醇或静脉输乙醇、碳酸氢钠、叶酸、4-甲基吡唑。</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职业接触限值：PC-TWA(时间加权平均容许浓度)(mg/m³)，25(皮)；PC-STEL(短时间接触容许浓度)(mg/m³)：50(皮)。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7" w:type="pct"/>
            <w:tcBorders>
              <w:tl2br w:val="nil"/>
              <w:tr2bl w:val="nil"/>
            </w:tcBorders>
            <w:noWrap w:val="0"/>
            <w:vAlign w:val="center"/>
          </w:tcPr>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安全</w:t>
            </w:r>
          </w:p>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措施</w:t>
            </w:r>
          </w:p>
        </w:tc>
        <w:tc>
          <w:tcPr>
            <w:tcW w:w="4512" w:type="pct"/>
            <w:tcBorders>
              <w:tl2br w:val="nil"/>
              <w:tr2bl w:val="nil"/>
            </w:tcBorders>
            <w:noWrap w:val="0"/>
            <w:vAlign w:val="center"/>
          </w:tcPr>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【一般要求】</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操作人员必须经过专门培训，严格遵守操作规程，熟练掌握操作技能，具备应急处置知识。</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密闭操作，防止泄漏，加强通风。远离火种、热源，工作场所严禁吸烟。使用防爆型的通风系统和设备。戴化学安全防护眼镜，穿防静电工作服，戴橡胶手套，建议操作人员佩戴过滤式防毒面具（半面罩）。</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储罐等压力设备应设置压力表、液位计、温度计，并应装有带压力、液位、温度远传记录和报警功能的安全装置。</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避免与氧化剂、酸类、碱金属接触。</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生产、储存区域应设置安全警示标志。灌装时应控制流速，且有接地装置，防止静电积聚。配备相应品种和数量的消防器材及泄漏应急处理设备。</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【特殊要求】</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【操作安全】</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1）打开甲醇容器前，应确定工作区通风良好且无火花或引火源存在；避免让释出的蒸气进入工作区的空气中。生产、贮存甲醇的车间要有可靠的防火、防爆措施。一旦发生物品着火，应用干粉灭火器、二氧化碳灭火器、砂土灭火。</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（2）设备罐内作业时注意以下事项：</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进入设备内作业，必须办理罐内作业许可证。入罐作业前必须严格执行安全隔离、清洗、置换的规定。做到物料不切断不进入；清洗置换不合格不进入；行灯不符合规定不进入；没有监护人员不进入；没有事故抢救后备措施不进入；</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——入罐作业前30分钟取样分析，易燃易爆、有毒有害物质浓度及氧含量合格方可进入作业。视具体条件加强罐内通风；对通风不良环境，应采取间歇作业；</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——在罐内动火作业，除了执行动火规定外，还必须符合罐内作业条件，有毒气体浓度低于国家规定值，严禁向罐内充氧。焊工离开作业罐时不准将焊（割）具留在罐内。</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（3）生产设备的清洗污水及生产车间内部地坪的冲洗水须收入应急池，经处理合格后才可排放。</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【储存安全】</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（1）储存于阴凉、通风良好的专用库房或储罐内，远离火种、热源。库房温度不宜超过37℃，保持容器密封。</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2）应与氧化剂、酸类、碱金属等分开存放，切忌混储。采用防爆型照明、通风设施。禁止使用易产生火花的机械设备和工具。在甲醇储罐四周设置围堰，围堰的容积等于储罐的容积。储存区应备有泄漏应急处理设备和合适的收容材料。</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（3）注意防雷、防静电，厂(车间)内的储罐应按《建筑物防雷设计规范》（GB50057）的规定设置防雷防静电设施。</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【运输安全】</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（1）运输车辆应有危险货物运输标志、安装具有行驶记录功能的卫星定位装置。未经公安机关批准，运输车辆不得进入危险化学品运输车辆限制通行的区域。</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2）甲醇装于专用的槽车(船)内运输，槽车(船)应定期清理；用其他包装容器运输时，容器须用盖密封。严禁与氧化剂、酸类、碱金属等混装混运。运输时运输车辆应配备2只以上干粉或二氧化碳灭火器和防爆工具。运输途中应防曝晒、防雨淋、防高温。不准在有明火地点或人多地段停车，高温季节应早晚运输。</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（3）在使用汽车、手推车运输甲醇容器时，应轻装轻卸。严禁抛、滑、滚、碰。严禁用电磁起重机和链绳吊装搬运。装运时，应妥善固定。</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（4）甲醇管道输送时，注意以下事项：</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——甲醇管道架空敷设时，甲醇管道应敷设在非燃烧体的支架或栈桥上；在已敷设的甲醇管道下面，不得修建与甲醇管道无关的建筑物和堆放易燃物品；</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——管道消除静电接地装置和防雷接地线，单独接地。防雷的接地电阻值不大于10Ω，防静电的接地电阻值不大于100Ω；</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——甲醇管道不应靠近热源敷设；</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——管道采用地上敷设时，应在人员活动较多和易遭车辆、外来物撞击的地段，采取保护措施并设置明显的警示标志；</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——甲醇管道外壁颜色、标志应执行《工业管道的基本识别色、识别符号和安全标识》（GB7231）的规定；</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——室内管道不应敷设在地沟中或直接埋地，室外地沟敷设的管道，应有防止泄漏、积聚或窜入其他沟道的措施。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87" w:type="pct"/>
            <w:tcBorders>
              <w:tl2br w:val="nil"/>
              <w:tr2bl w:val="nil"/>
            </w:tcBorders>
            <w:noWrap w:val="0"/>
            <w:vAlign w:val="center"/>
          </w:tcPr>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应急</w:t>
            </w:r>
          </w:p>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处置</w:t>
            </w:r>
          </w:p>
          <w:p>
            <w:pPr>
              <w:pStyle w:val="62"/>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原则</w:t>
            </w:r>
          </w:p>
        </w:tc>
        <w:tc>
          <w:tcPr>
            <w:tcW w:w="4512" w:type="pct"/>
            <w:tcBorders>
              <w:tl2br w:val="nil"/>
              <w:tr2bl w:val="nil"/>
            </w:tcBorders>
            <w:noWrap w:val="0"/>
            <w:vAlign w:val="center"/>
          </w:tcPr>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【急救措施】</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吸入：迅速脱离现场至空气新鲜处。保持呼吸道通畅。如呼吸困难，给氧。如呼吸停止，立即进行人工呼吸。就医。</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食入：饮足量温水，催吐。用清水或1％硫代硫酸钠溶液洗胃。就医。</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皮肤接触：脱去污染的衣着，用肥皂水和清水彻底冲洗皮肤。</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眼睛接触：提起眼睑，用流动清水或生理盐水冲洗。就医。</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【灭火方法】</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尽可能将容器从火场移至空旷处。喷水保持火场容器冷却，直至灭火结束。处在火场中的容器若已变色或从安全泄压装置中产生声音，必须马上撤离。</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灭火剂：抗溶性泡沫、干粉、二氧化碳、砂土。</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【泄漏应急处置】</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消除所有点火源。根据液体流动和蒸气扩散的影响区域划定警戒区，无关人员从侧风、上风向撤离至安全区。建议应急处理人员戴正压自给式空气呼吸器，穿防毒、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抗溶性泡沫覆盖，减少蒸发。喷水雾能减少蒸发，但不能降低泄漏物在受限制空间内的易燃性。用防爆泵转移至槽车或专用收集器内。喷雾状水驱散蒸气、稀释液体泄漏物。</w:t>
            </w:r>
          </w:p>
          <w:p>
            <w:pPr>
              <w:pStyle w:val="63"/>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作为一项紧急预防措施，泄漏隔离距离至少为50m。如果为大量泄漏，在初始隔离距离的基础上加大下风向的疏散距离。</w:t>
            </w:r>
          </w:p>
        </w:tc>
      </w:tr>
      <w:bookmarkEnd w:id="55"/>
    </w:tbl>
    <w:p>
      <w:pPr>
        <w:pStyle w:val="4"/>
        <w:bidi w:val="0"/>
        <w:rPr>
          <w:rFonts w:hint="default" w:ascii="Times New Roman" w:hAnsi="Times New Roman" w:cs="Times New Roman"/>
          <w:color w:val="auto"/>
          <w:highlight w:val="none"/>
        </w:rPr>
      </w:pPr>
      <w:bookmarkStart w:id="57" w:name="_Toc3523"/>
      <w:bookmarkStart w:id="58" w:name="_Toc25939"/>
      <w:r>
        <w:rPr>
          <w:rFonts w:hint="default" w:ascii="Times New Roman" w:hAnsi="Times New Roman" w:cs="Times New Roman"/>
          <w:color w:val="auto"/>
          <w:highlight w:val="none"/>
        </w:rPr>
        <w:t>3.4 生产工艺</w:t>
      </w:r>
      <w:bookmarkEnd w:id="56"/>
      <w:bookmarkEnd w:id="57"/>
      <w:bookmarkEnd w:id="58"/>
    </w:p>
    <w:p>
      <w:pPr>
        <w:pStyle w:val="54"/>
        <w:ind w:firstLine="480"/>
        <w:rPr>
          <w:rFonts w:hint="default" w:ascii="Times New Roman" w:hAnsi="Times New Roman" w:cs="Times New Roman"/>
        </w:rPr>
      </w:pPr>
      <w:bookmarkStart w:id="59" w:name="_Hlk494107981"/>
      <w:bookmarkStart w:id="60" w:name="_Toc404176637"/>
      <w:bookmarkStart w:id="61" w:name="_Toc404954420"/>
      <w:bookmarkStart w:id="62" w:name="_Toc444522066"/>
      <w:bookmarkStart w:id="63" w:name="_Toc26722"/>
      <w:bookmarkStart w:id="64" w:name="_Toc397674754"/>
      <w:r>
        <w:rPr>
          <w:rFonts w:hint="default" w:ascii="Times New Roman" w:hAnsi="Times New Roman" w:cs="Times New Roman"/>
          <w:b w:val="0"/>
          <w:bCs w:val="0"/>
          <w:color w:val="auto"/>
          <w:sz w:val="24"/>
          <w:szCs w:val="24"/>
          <w:lang w:val="en-US" w:eastAsia="zh-CN"/>
        </w:rPr>
        <w:t>本项目主要产品为</w:t>
      </w:r>
      <w:r>
        <w:rPr>
          <w:rFonts w:hint="default" w:ascii="Times New Roman" w:hAnsi="Times New Roman" w:cs="Times New Roman"/>
          <w:color w:val="000000"/>
          <w:sz w:val="24"/>
          <w:szCs w:val="24"/>
        </w:rPr>
        <w:t>甲醛</w:t>
      </w:r>
      <w:r>
        <w:rPr>
          <w:rFonts w:hint="default" w:ascii="Times New Roman" w:hAnsi="Times New Roman" w:cs="Times New Roma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val="0"/>
          <w:color w:val="auto"/>
          <w:sz w:val="24"/>
          <w:szCs w:val="24"/>
          <w:lang w:val="en-US" w:eastAsia="zh-CN"/>
        </w:rPr>
        <w:t>一、甲醛生产</w:t>
      </w:r>
      <w:r>
        <w:rPr>
          <w:rFonts w:hint="default" w:ascii="Times New Roman" w:hAnsi="Times New Roman" w:cs="Times New Roman"/>
          <w:b/>
          <w:color w:val="auto"/>
          <w:sz w:val="24"/>
          <w:szCs w:val="24"/>
        </w:rPr>
        <w:t>工艺</w:t>
      </w:r>
      <w:r>
        <w:rPr>
          <w:rFonts w:hint="default" w:ascii="Times New Roman" w:hAnsi="Times New Roman" w:cs="Times New Roman"/>
          <w:b/>
          <w:bCs/>
          <w:color w:val="auto"/>
          <w:sz w:val="24"/>
          <w:szCs w:val="24"/>
          <w:lang w:val="en-US" w:eastAsia="zh-CN"/>
        </w:rPr>
        <w:t>及产污环节分析</w:t>
      </w:r>
    </w:p>
    <w:p>
      <w:pPr>
        <w:spacing w:line="480" w:lineRule="exact"/>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甲醛生产过程主要包括三元气制备、氧化脱氢反应、甲醛吸收、尾气处理等工段，具体生产工艺为：</w:t>
      </w:r>
    </w:p>
    <w:p>
      <w:pPr>
        <w:spacing w:line="480" w:lineRule="exact"/>
        <w:ind w:firstLine="482" w:firstLineChars="200"/>
        <w:rPr>
          <w:rFonts w:hint="default" w:ascii="Times New Roman" w:hAnsi="Times New Roman" w:cs="Times New Roman"/>
          <w:b/>
          <w:color w:val="000000"/>
          <w:sz w:val="24"/>
          <w:szCs w:val="24"/>
        </w:rPr>
      </w:pPr>
      <w:r>
        <w:rPr>
          <w:rFonts w:hint="default" w:ascii="Times New Roman" w:hAnsi="Times New Roman" w:cs="Times New Roman"/>
          <w:b/>
          <w:color w:val="000000"/>
          <w:sz w:val="24"/>
          <w:szCs w:val="24"/>
        </w:rPr>
        <w:t>1、甲醛生产线开车</w:t>
      </w:r>
    </w:p>
    <w:p>
      <w:pPr>
        <w:spacing w:line="480" w:lineRule="exact"/>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甲醛生产线每年开停车次数为4次，甲醛生产开车供热由尾气锅炉燃烧甲醇提供，待甲醛装置产出尾气且燃烧供热足够甲醛需要时，停止燃烧甲醇。</w:t>
      </w:r>
    </w:p>
    <w:p>
      <w:pPr>
        <w:pStyle w:val="59"/>
        <w:spacing w:after="0" w:line="480" w:lineRule="exact"/>
        <w:ind w:firstLine="482"/>
        <w:rPr>
          <w:rFonts w:hint="default" w:ascii="Times New Roman" w:hAnsi="Times New Roman" w:cs="Times New Roman"/>
          <w:b/>
          <w:sz w:val="24"/>
          <w:highlight w:val="none"/>
        </w:rPr>
      </w:pPr>
      <w:r>
        <w:rPr>
          <w:rFonts w:hint="default" w:ascii="Times New Roman" w:hAnsi="Times New Roman" w:cs="Times New Roman"/>
          <w:b/>
          <w:sz w:val="24"/>
          <w:highlight w:val="none"/>
        </w:rPr>
        <w:t>2、过滤工序</w:t>
      </w:r>
    </w:p>
    <w:p>
      <w:pPr>
        <w:pStyle w:val="59"/>
        <w:spacing w:after="0" w:line="480" w:lineRule="exact"/>
        <w:ind w:firstLine="480"/>
        <w:rPr>
          <w:rFonts w:hint="default" w:ascii="Times New Roman" w:hAnsi="Times New Roman" w:cs="Times New Roman"/>
          <w:sz w:val="24"/>
        </w:rPr>
      </w:pPr>
      <w:r>
        <w:rPr>
          <w:rFonts w:hint="default" w:ascii="Times New Roman" w:hAnsi="Times New Roman" w:cs="Times New Roman"/>
          <w:sz w:val="24"/>
        </w:rPr>
        <w:t>外购的甲醇泵入甲醇储罐，计量后采用甲醇输送泵泵入甲醇过滤器，经过滤的甲醇液体泵入蒸发器，其流量根据组合蒸发器内液位进行自动调节。空气经风机抽至空气过滤器过滤后进入蒸发器。蒸汽分配器的蒸汽经过滤器过滤后进入过热器。</w:t>
      </w:r>
    </w:p>
    <w:p>
      <w:pPr>
        <w:pStyle w:val="59"/>
        <w:spacing w:after="0" w:line="480" w:lineRule="exact"/>
        <w:ind w:firstLine="482"/>
        <w:rPr>
          <w:rFonts w:hint="default" w:ascii="Times New Roman" w:hAnsi="Times New Roman" w:cs="Times New Roman"/>
          <w:b/>
          <w:sz w:val="24"/>
        </w:rPr>
      </w:pPr>
      <w:r>
        <w:rPr>
          <w:rFonts w:hint="default" w:ascii="Times New Roman" w:hAnsi="Times New Roman" w:cs="Times New Roman"/>
          <w:b/>
          <w:sz w:val="24"/>
        </w:rPr>
        <w:t>3、蒸发、配料及过热</w:t>
      </w:r>
    </w:p>
    <w:p>
      <w:pPr>
        <w:spacing w:line="480" w:lineRule="exact"/>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A、蒸发及配料</w:t>
      </w:r>
    </w:p>
    <w:p>
      <w:pPr>
        <w:spacing w:line="480" w:lineRule="exact"/>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蒸发器夹套内通80℃热水加热，蒸发器内甲醇经空气管式分布鼓泡和加热（夹套内加热水间接加热）气化，空气和甲醇蒸汽在蒸发器部分混合为二元混合气体。蒸发器夹套的热水由热水槽加入，热水槽的热水为氧化器夹套排出的热水（氧化器内的反应为放热反应），蒸发器夹套排出的温水泵入氧化器加热，蒸发器和氧化器夹套的水为循环使用。甲醇中含有部分高沸点难挥发物质，甲醇蒸发时，难挥发性物质残留在蒸发器底部，产生蒸发残液，甲醇蒸发残液主要成分为高沸点难挥发性物质，开停车过程中产生甲醇蒸发残液，经甲醇过滤器过滤后回用于生产。</w:t>
      </w:r>
    </w:p>
    <w:p>
      <w:pPr>
        <w:spacing w:line="480" w:lineRule="exact"/>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蒸发器产生的二元混合气体在压差的作用下进入过热器，在过热器的前端加入配料蒸汽，配料蒸汽的加入不仅有利于控制反应温度，而且有利于抑制副反应的生成、降低甲醇爆炸风险、防止床层结碳，还可以提高甲醇转化率和产品收率。对于甲醇、空气混合蒸发工艺，配料蒸汽加入后配料比（配料比=甲醇质量/（甲醇质量+水质量））控制在54%~71%最佳（本次评价按60%计）。</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color w:val="000000"/>
          <w:sz w:val="24"/>
          <w:szCs w:val="24"/>
        </w:rPr>
        <w:t>在过热器部分进口端通入一定量的0.2M</w:t>
      </w:r>
      <w:r>
        <w:rPr>
          <w:rFonts w:hint="default" w:ascii="Times New Roman" w:hAnsi="Times New Roman" w:cs="Times New Roman"/>
          <w:sz w:val="24"/>
          <w:szCs w:val="24"/>
        </w:rPr>
        <w:t>Pa、120℃蒸汽，与甲醇蒸气和空气混合形醇一空气一蒸汽三元混合气体，开车时氧醇比应控制在0.25~0.28，正常生产时氧醇比为0.38-043。氧醇比偏低会导致成品甲醛含量偏高，过高则会使尾气中二氧化碳量偏高，因此，开车和正常生产都必须控制氧醇比。</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B、过热</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过热操作目的在于使甲醇蒸气、空气、蒸汽等混合气体保持气体状态，防止蒸汽、甲醇冷凝改变混合气体的配比，影响甲醇转化率。随着甲醇蒸气的不断产生和空气、蒸汽的加入，甲醇一空气一蒸汽三元混合气体在压差作用下流经过滤器和过热器部分，温度控制在110~120℃范围内，过热后的三元混合气体从过热器出口端流出。</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C、过滤阻火器</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在甲醛生产中，为了阻止可燃性物质的燃烧，避免发生回火等危险性的爆炸事故，在工艺装置上安装阻火器，阻止易燃气体火焰蔓延。阻火器安装在混合气体进氧化器前管线处，材质为不锈钢丝网。</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加热后的三元气体经过过滤阻火器的过滤作用清除其它杂质后于120℃左右进入氧化器的氧化室。</w:t>
      </w:r>
    </w:p>
    <w:p>
      <w:pPr>
        <w:spacing w:line="480" w:lineRule="exact"/>
        <w:ind w:firstLine="482" w:firstLineChars="200"/>
        <w:rPr>
          <w:rFonts w:hint="default" w:ascii="Times New Roman" w:hAnsi="Times New Roman" w:cs="Times New Roman"/>
          <w:b/>
          <w:sz w:val="24"/>
          <w:szCs w:val="24"/>
        </w:rPr>
      </w:pPr>
      <w:r>
        <w:rPr>
          <w:rFonts w:hint="default" w:ascii="Times New Roman" w:hAnsi="Times New Roman" w:cs="Times New Roman"/>
          <w:b/>
          <w:sz w:val="24"/>
          <w:szCs w:val="24"/>
        </w:rPr>
        <w:t>4、催化氧化、冷却工序(甲醛的生成) </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催化氧化反应在600℃高温下，反应速率和转化率最高，副反应很小：对于脱氢反应来讲，随着温度升高，转化率和反应速率也提高：但温度过高会使副反应增多，影响传化率，还会影响催化剂寿命、阻力和性能的发挥。一般电解银反应的温度控制在630~660℃为宜。</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催化氧化反应在氧化器中进行，氧化器是甲醛生产中的重要设备。典型的氧化器一般从上到下分为三段：上段为催化氧化段：中间为急冷段：下段为二冷段。</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A、催化氧化 </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催化段内装电解银催化剂制成的催化床</w:t>
      </w:r>
      <w:r>
        <w:rPr>
          <w:rFonts w:hint="default" w:ascii="Times New Roman" w:hAnsi="Times New Roman" w:cs="Times New Roman"/>
          <w:sz w:val="24"/>
        </w:rPr>
        <w:t>，厚度为15~20mm，甲醇混合气体通过催化床发生化学反应，使甲醇氧化脱氢变成甲醛，电解银法最佳反应温度为6</w:t>
      </w:r>
      <w:r>
        <w:rPr>
          <w:rFonts w:hint="default" w:ascii="Times New Roman" w:hAnsi="Times New Roman" w:cs="Times New Roman"/>
          <w:sz w:val="24"/>
          <w:szCs w:val="24"/>
        </w:rPr>
        <w:t>30~660℃。</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距催化床上部50~70mm处有火电阻丝支撑在一圆形绝缘支架上，用于开车时点火，提高催化床温度，加速反应的进行。过热后的三元混合气体经阻火过滤器除去蒸汽中的杂质后进入氧化器上部，点火放热使催化床温度升高后，在银催化剂的作用下甲醇经过氧化、脱氢反应生成甲醛。</w:t>
      </w:r>
    </w:p>
    <w:p>
      <w:pPr>
        <w:pStyle w:val="59"/>
        <w:spacing w:after="0" w:line="480" w:lineRule="exact"/>
        <w:ind w:firstLine="480"/>
        <w:rPr>
          <w:rFonts w:hint="default" w:ascii="Times New Roman" w:hAnsi="Times New Roman" w:cs="Times New Roman"/>
          <w:sz w:val="24"/>
        </w:rPr>
      </w:pPr>
      <w:r>
        <w:rPr>
          <w:rFonts w:hint="default" w:ascii="Times New Roman" w:hAnsi="Times New Roman" w:cs="Times New Roman"/>
          <w:sz w:val="24"/>
        </w:rPr>
        <w:t>氧化过程的进料为甲醛—空气—水蒸气三元混合气体，由于副反应的进行，出料为含有HCHO、CH</w:t>
      </w:r>
      <w:r>
        <w:rPr>
          <w:rFonts w:hint="default" w:ascii="Times New Roman" w:hAnsi="Times New Roman" w:cs="Times New Roman"/>
          <w:sz w:val="24"/>
          <w:vertAlign w:val="subscript"/>
        </w:rPr>
        <w:t>3</w:t>
      </w:r>
      <w:r>
        <w:rPr>
          <w:rFonts w:hint="default" w:ascii="Times New Roman" w:hAnsi="Times New Roman" w:cs="Times New Roman"/>
          <w:sz w:val="24"/>
        </w:rPr>
        <w:t>OH、HCOOH、H</w:t>
      </w:r>
      <w:r>
        <w:rPr>
          <w:rFonts w:hint="default" w:ascii="Times New Roman" w:hAnsi="Times New Roman" w:cs="Times New Roman"/>
          <w:sz w:val="24"/>
          <w:vertAlign w:val="subscript"/>
        </w:rPr>
        <w:t>2</w:t>
      </w:r>
      <w:r>
        <w:rPr>
          <w:rFonts w:hint="default" w:ascii="Times New Roman" w:hAnsi="Times New Roman" w:cs="Times New Roman"/>
          <w:sz w:val="24"/>
        </w:rPr>
        <w:t>O、CO</w:t>
      </w:r>
      <w:r>
        <w:rPr>
          <w:rFonts w:hint="default" w:ascii="Times New Roman" w:hAnsi="Times New Roman" w:cs="Times New Roman"/>
          <w:sz w:val="24"/>
          <w:vertAlign w:val="subscript"/>
        </w:rPr>
        <w:t>2</w:t>
      </w:r>
      <w:r>
        <w:rPr>
          <w:rFonts w:hint="default" w:ascii="Times New Roman" w:hAnsi="Times New Roman" w:cs="Times New Roman"/>
          <w:sz w:val="24"/>
        </w:rPr>
        <w:t>、CO、CH</w:t>
      </w:r>
      <w:r>
        <w:rPr>
          <w:rFonts w:hint="default" w:ascii="Times New Roman" w:hAnsi="Times New Roman" w:cs="Times New Roman"/>
          <w:sz w:val="24"/>
          <w:vertAlign w:val="subscript"/>
        </w:rPr>
        <w:t>4</w:t>
      </w:r>
      <w:r>
        <w:rPr>
          <w:rFonts w:hint="default" w:ascii="Times New Roman" w:hAnsi="Times New Roman" w:cs="Times New Roman"/>
          <w:sz w:val="24"/>
        </w:rPr>
        <w:t>、O</w:t>
      </w:r>
      <w:r>
        <w:rPr>
          <w:rFonts w:hint="default" w:ascii="Times New Roman" w:hAnsi="Times New Roman" w:cs="Times New Roman"/>
          <w:sz w:val="24"/>
          <w:vertAlign w:val="subscript"/>
        </w:rPr>
        <w:t>2</w:t>
      </w:r>
      <w:r>
        <w:rPr>
          <w:rFonts w:hint="default" w:ascii="Times New Roman" w:hAnsi="Times New Roman" w:cs="Times New Roman"/>
          <w:sz w:val="24"/>
        </w:rPr>
        <w:t>、H</w:t>
      </w:r>
      <w:r>
        <w:rPr>
          <w:rFonts w:hint="default" w:ascii="Times New Roman" w:hAnsi="Times New Roman" w:cs="Times New Roman"/>
          <w:sz w:val="24"/>
          <w:vertAlign w:val="subscript"/>
        </w:rPr>
        <w:t>2</w:t>
      </w:r>
      <w:r>
        <w:rPr>
          <w:rFonts w:hint="default" w:ascii="Times New Roman" w:hAnsi="Times New Roman" w:cs="Times New Roman"/>
          <w:sz w:val="24"/>
        </w:rPr>
        <w:t>、N</w:t>
      </w:r>
      <w:r>
        <w:rPr>
          <w:rFonts w:hint="default" w:ascii="Times New Roman" w:hAnsi="Times New Roman" w:cs="Times New Roman"/>
          <w:sz w:val="24"/>
          <w:vertAlign w:val="subscript"/>
        </w:rPr>
        <w:t>2</w:t>
      </w:r>
      <w:r>
        <w:rPr>
          <w:rFonts w:hint="default" w:ascii="Times New Roman" w:hAnsi="Times New Roman" w:cs="Times New Roman"/>
          <w:sz w:val="24"/>
        </w:rPr>
        <w:t>等的混合转化气。</w:t>
      </w:r>
    </w:p>
    <w:p>
      <w:pPr>
        <w:pStyle w:val="59"/>
        <w:spacing w:after="0" w:line="480" w:lineRule="exact"/>
        <w:ind w:firstLine="480"/>
        <w:rPr>
          <w:rFonts w:hint="default" w:ascii="Times New Roman" w:hAnsi="Times New Roman" w:cs="Times New Roman"/>
          <w:sz w:val="24"/>
        </w:rPr>
      </w:pPr>
      <w:r>
        <w:rPr>
          <w:rFonts w:hint="default" w:ascii="Times New Roman" w:hAnsi="Times New Roman" w:cs="Times New Roman"/>
          <w:sz w:val="24"/>
        </w:rPr>
        <w:t>B、冷却</w:t>
      </w:r>
    </w:p>
    <w:p>
      <w:pPr>
        <w:pStyle w:val="59"/>
        <w:spacing w:after="0" w:line="480" w:lineRule="exact"/>
        <w:ind w:firstLine="480"/>
        <w:rPr>
          <w:rFonts w:hint="default" w:ascii="Times New Roman" w:hAnsi="Times New Roman" w:cs="Times New Roman"/>
          <w:sz w:val="24"/>
        </w:rPr>
      </w:pPr>
      <w:r>
        <w:rPr>
          <w:rFonts w:hint="default" w:ascii="Times New Roman" w:hAnsi="Times New Roman" w:cs="Times New Roman"/>
          <w:sz w:val="24"/>
        </w:rPr>
        <w:t>当产物在气压差作用下脱离催化床后，经急冷段迅速冷却到200℃左右，以抑制副反应的产生，再进入二冷段与冷却水进行换热冷却到80℃左右后进入吸收系统。氧化器中部为余热蒸汽锅炉（急冷段），物料降温放热用于加热纯水生产蒸汽；下部为间接热换器（二冷段），为列管换热器，换热介质为纯水，物料通过间接换热器将循环水加热形成约80℃的热水，通过热水槽与蒸发器夹层相连，对蒸发器内甲醇进行加热蒸发。</w:t>
      </w:r>
    </w:p>
    <w:p>
      <w:pPr>
        <w:pStyle w:val="59"/>
        <w:spacing w:after="0" w:line="480" w:lineRule="exact"/>
        <w:ind w:firstLine="482"/>
        <w:rPr>
          <w:rFonts w:hint="default" w:ascii="Times New Roman" w:hAnsi="Times New Roman" w:cs="Times New Roman"/>
          <w:b/>
          <w:sz w:val="24"/>
        </w:rPr>
      </w:pPr>
      <w:r>
        <w:rPr>
          <w:rFonts w:hint="default" w:ascii="Times New Roman" w:hAnsi="Times New Roman" w:cs="Times New Roman"/>
          <w:b/>
          <w:sz w:val="24"/>
        </w:rPr>
        <w:t>5、吸收工序</w:t>
      </w:r>
    </w:p>
    <w:p>
      <w:pPr>
        <w:pStyle w:val="59"/>
        <w:spacing w:after="0" w:line="480" w:lineRule="exact"/>
        <w:ind w:firstLine="480"/>
        <w:rPr>
          <w:rFonts w:hint="default" w:ascii="Times New Roman" w:hAnsi="Times New Roman" w:cs="Times New Roman"/>
          <w:sz w:val="24"/>
          <w:highlight w:val="none"/>
        </w:rPr>
      </w:pPr>
      <w:r>
        <w:rPr>
          <w:rFonts w:hint="default" w:ascii="Times New Roman" w:hAnsi="Times New Roman" w:cs="Times New Roman"/>
          <w:sz w:val="24"/>
          <w:highlight w:val="none"/>
        </w:rPr>
        <w:t>氧化工序得到的含有HCHO、CH</w:t>
      </w:r>
      <w:r>
        <w:rPr>
          <w:rFonts w:hint="default" w:ascii="Times New Roman" w:hAnsi="Times New Roman" w:cs="Times New Roman"/>
          <w:sz w:val="24"/>
          <w:highlight w:val="none"/>
          <w:vertAlign w:val="subscript"/>
        </w:rPr>
        <w:t>3</w:t>
      </w:r>
      <w:r>
        <w:rPr>
          <w:rFonts w:hint="default" w:ascii="Times New Roman" w:hAnsi="Times New Roman" w:cs="Times New Roman"/>
          <w:sz w:val="24"/>
          <w:highlight w:val="none"/>
        </w:rPr>
        <w:t>OH、HCOOH、H</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O、CO</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、CO、CH</w:t>
      </w:r>
      <w:r>
        <w:rPr>
          <w:rFonts w:hint="default" w:ascii="Times New Roman" w:hAnsi="Times New Roman" w:cs="Times New Roman"/>
          <w:sz w:val="24"/>
          <w:highlight w:val="none"/>
          <w:vertAlign w:val="subscript"/>
        </w:rPr>
        <w:t>4</w:t>
      </w:r>
      <w:r>
        <w:rPr>
          <w:rFonts w:hint="default" w:ascii="Times New Roman" w:hAnsi="Times New Roman" w:cs="Times New Roman"/>
          <w:sz w:val="24"/>
          <w:highlight w:val="none"/>
        </w:rPr>
        <w:t>、O</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、H</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、N</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等的混合转化气从氧化器的底端进入1#吸收塔底端。吸收采用三塔循环，其中2#、3#为一体建设。3#塔用软水做吸收剂，2#塔用3#塔来的稀溶液作吸收剂，1#塔用2#塔来的稀溶液作吸收剂。</w:t>
      </w:r>
    </w:p>
    <w:p>
      <w:pPr>
        <w:pStyle w:val="59"/>
        <w:spacing w:after="0" w:line="480" w:lineRule="exact"/>
        <w:ind w:firstLine="480"/>
        <w:rPr>
          <w:rFonts w:hint="default" w:ascii="Times New Roman" w:hAnsi="Times New Roman" w:cs="Times New Roman"/>
          <w:sz w:val="24"/>
          <w:highlight w:val="none"/>
        </w:rPr>
      </w:pPr>
      <w:r>
        <w:rPr>
          <w:rFonts w:hint="default" w:ascii="Times New Roman" w:hAnsi="Times New Roman" w:cs="Times New Roman"/>
          <w:sz w:val="24"/>
          <w:highlight w:val="none"/>
        </w:rPr>
        <w:t>具体流程：自氧化器出来的甲醛从1#塔底进入，向塔顶流动；2#塔来的稀甲醛溶液从塔顶加入，1#塔循环液从塔顶和塔中部加入，向下流动，气流逆向流动；在此运行过程中，大部分甲醛被吸收，并放出大量的热。为控制1#塔循环一定的循环温度以保证吸收效果，1#塔出来的循环液经泵送入塔顶和塔中部前，必须经1#塔第一冷却器和2#塔第二冷却器冷却后，才能送入形成自塔循环。1#塔未被吸收的气体由塔顶引出，进入2#吸收塔的底部，3#塔来的稀甲醛溶液从塔顶加入，向下流动吸收。2#吸收塔顶部未被吸收的气体由塔顶引出，进入3#吸收塔的底部，用软水吸收，3#吸收塔顶部未被吸收的气体，经湿气分离器分离出水份后送入尾气锅炉中焚烧，焚烧过程放出的热量用于生产蒸汽，以达到消除污染和节能的目的，湿气分离器分离出的水回用做吸收液。在3#吸收塔与湿气分离器之间设置尾气放空装置，当开车30min内，为了避免生产安全事故，3#吸收塔洗涤后的少量尾气直接排空，不适合燃烧处理，属于非正常排放。甲醛生产线每年开停车约4次。</w:t>
      </w:r>
    </w:p>
    <w:p>
      <w:pPr>
        <w:pStyle w:val="59"/>
        <w:spacing w:after="0" w:line="480" w:lineRule="exact"/>
        <w:ind w:firstLine="480"/>
        <w:rPr>
          <w:rFonts w:hint="default" w:ascii="Times New Roman" w:hAnsi="Times New Roman" w:cs="Times New Roman"/>
          <w:sz w:val="24"/>
          <w:highlight w:val="none"/>
        </w:rPr>
      </w:pPr>
      <w:r>
        <w:rPr>
          <w:rFonts w:hint="default" w:ascii="Times New Roman" w:hAnsi="Times New Roman" w:cs="Times New Roman"/>
          <w:sz w:val="24"/>
          <w:highlight w:val="none"/>
        </w:rPr>
        <w:t>吸收用水由泵经冷却器打到3#吸收塔塔顶，在3#吸收塔内吸收甲醛后，用泵经第二冷却器冷却后，打到2#吸收塔顶，在2#吸收塔内进一步吸收甲醛后，用泵经第三冷却器冷却后，打到1#吸收塔顶，在1#吸收塔内进一步吸收甲醛后，由1#塔底引出冷却器流入甲醛调节罐，经计量后由甲醛循环打料泵进入甲醛储罐储存。</w:t>
      </w:r>
    </w:p>
    <w:p>
      <w:pPr>
        <w:pStyle w:val="59"/>
        <w:spacing w:after="0" w:line="480" w:lineRule="exact"/>
        <w:ind w:firstLine="482"/>
        <w:rPr>
          <w:rFonts w:hint="default" w:ascii="Times New Roman" w:hAnsi="Times New Roman" w:cs="Times New Roman"/>
          <w:b/>
          <w:sz w:val="24"/>
          <w:highlight w:val="none"/>
        </w:rPr>
      </w:pPr>
      <w:r>
        <w:rPr>
          <w:rFonts w:hint="default" w:ascii="Times New Roman" w:hAnsi="Times New Roman" w:cs="Times New Roman"/>
          <w:b/>
          <w:sz w:val="24"/>
          <w:highlight w:val="none"/>
        </w:rPr>
        <w:t>6、尾气燃烧及余热回收</w:t>
      </w:r>
    </w:p>
    <w:p>
      <w:pPr>
        <w:spacing w:line="480" w:lineRule="exact"/>
        <w:ind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3#吸收塔顶出来的尾气（含有</w:t>
      </w:r>
      <w:r>
        <w:rPr>
          <w:rFonts w:hint="default" w:ascii="Times New Roman" w:hAnsi="Times New Roman" w:cs="Times New Roman"/>
          <w:sz w:val="24"/>
          <w:highlight w:val="none"/>
        </w:rPr>
        <w:t>HCHO、CH</w:t>
      </w:r>
      <w:r>
        <w:rPr>
          <w:rFonts w:hint="default" w:ascii="Times New Roman" w:hAnsi="Times New Roman" w:cs="Times New Roman"/>
          <w:sz w:val="24"/>
          <w:highlight w:val="none"/>
          <w:vertAlign w:val="subscript"/>
        </w:rPr>
        <w:t>3</w:t>
      </w:r>
      <w:r>
        <w:rPr>
          <w:rFonts w:hint="default" w:ascii="Times New Roman" w:hAnsi="Times New Roman" w:cs="Times New Roman"/>
          <w:sz w:val="24"/>
          <w:highlight w:val="none"/>
        </w:rPr>
        <w:t>OH、HCOOH、H</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O、CO</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、CO、CH</w:t>
      </w:r>
      <w:r>
        <w:rPr>
          <w:rFonts w:hint="default" w:ascii="Times New Roman" w:hAnsi="Times New Roman" w:cs="Times New Roman"/>
          <w:sz w:val="24"/>
          <w:highlight w:val="none"/>
          <w:vertAlign w:val="subscript"/>
        </w:rPr>
        <w:t>4</w:t>
      </w:r>
      <w:r>
        <w:rPr>
          <w:rFonts w:hint="default" w:ascii="Times New Roman" w:hAnsi="Times New Roman" w:cs="Times New Roman"/>
          <w:sz w:val="24"/>
          <w:highlight w:val="none"/>
        </w:rPr>
        <w:t>、O</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、H</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、N</w:t>
      </w:r>
      <w:r>
        <w:rPr>
          <w:rFonts w:hint="default" w:ascii="Times New Roman" w:hAnsi="Times New Roman" w:cs="Times New Roman"/>
          <w:sz w:val="24"/>
          <w:highlight w:val="none"/>
          <w:vertAlign w:val="subscript"/>
        </w:rPr>
        <w:t>2</w:t>
      </w:r>
      <w:r>
        <w:rPr>
          <w:rFonts w:hint="default" w:ascii="Times New Roman" w:hAnsi="Times New Roman" w:cs="Times New Roman"/>
          <w:color w:val="000000"/>
          <w:sz w:val="24"/>
          <w:szCs w:val="24"/>
          <w:highlight w:val="none"/>
        </w:rPr>
        <w:t>）经湿气分离器后进入焚烧炉进行燃烧处理回收热能，产生的蒸汽送气包（蒸汽分配器）统一调配使用，多余蒸汽外卖周边用汽企业。燃烧后的尾气主要含</w:t>
      </w:r>
      <w:r>
        <w:rPr>
          <w:rFonts w:hint="default" w:ascii="Times New Roman" w:hAnsi="Times New Roman" w:cs="Times New Roman"/>
          <w:sz w:val="24"/>
          <w:highlight w:val="none"/>
        </w:rPr>
        <w:t>HCHO、H</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O、CO</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、CH</w:t>
      </w:r>
      <w:r>
        <w:rPr>
          <w:rFonts w:hint="default" w:ascii="Times New Roman" w:hAnsi="Times New Roman" w:cs="Times New Roman"/>
          <w:sz w:val="24"/>
          <w:highlight w:val="none"/>
          <w:vertAlign w:val="subscript"/>
        </w:rPr>
        <w:t>4</w:t>
      </w:r>
      <w:r>
        <w:rPr>
          <w:rFonts w:hint="default" w:ascii="Times New Roman" w:hAnsi="Times New Roman" w:cs="Times New Roman"/>
          <w:sz w:val="24"/>
          <w:highlight w:val="none"/>
        </w:rPr>
        <w:t>、O</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、H</w:t>
      </w:r>
      <w:r>
        <w:rPr>
          <w:rFonts w:hint="default" w:ascii="Times New Roman" w:hAnsi="Times New Roman" w:cs="Times New Roman"/>
          <w:sz w:val="24"/>
          <w:highlight w:val="none"/>
          <w:vertAlign w:val="subscript"/>
        </w:rPr>
        <w:t>2</w:t>
      </w:r>
      <w:r>
        <w:rPr>
          <w:rFonts w:hint="default" w:ascii="Times New Roman" w:hAnsi="Times New Roman" w:cs="Times New Roman"/>
          <w:sz w:val="24"/>
          <w:highlight w:val="none"/>
        </w:rPr>
        <w:t>、N</w:t>
      </w:r>
      <w:r>
        <w:rPr>
          <w:rFonts w:hint="default" w:ascii="Times New Roman" w:hAnsi="Times New Roman" w:cs="Times New Roman"/>
          <w:sz w:val="24"/>
          <w:highlight w:val="none"/>
          <w:vertAlign w:val="subscript"/>
        </w:rPr>
        <w:t>2</w:t>
      </w:r>
      <w:r>
        <w:rPr>
          <w:rFonts w:hint="default" w:ascii="Times New Roman" w:hAnsi="Times New Roman" w:cs="Times New Roman"/>
          <w:color w:val="000000"/>
          <w:sz w:val="24"/>
          <w:szCs w:val="24"/>
          <w:highlight w:val="none"/>
        </w:rPr>
        <w:t>，经20m高排气筒排放。</w:t>
      </w:r>
    </w:p>
    <w:p>
      <w:pPr>
        <w:pStyle w:val="59"/>
        <w:spacing w:after="0" w:line="480" w:lineRule="exact"/>
        <w:ind w:firstLine="480"/>
        <w:rPr>
          <w:rFonts w:hint="default" w:ascii="Times New Roman" w:hAnsi="Times New Roman" w:cs="Times New Roman"/>
          <w:sz w:val="24"/>
          <w:highlight w:val="none"/>
        </w:rPr>
      </w:pPr>
      <w:r>
        <w:rPr>
          <w:rFonts w:hint="default" w:ascii="Times New Roman" w:hAnsi="Times New Roman" w:cs="Times New Roman"/>
          <w:sz w:val="24"/>
          <w:highlight w:val="none"/>
        </w:rPr>
        <w:t>尾气经湿气分离器后进入尾气锅炉燃烧处理，湿气分离器中的水需要定期更换，湿气分离器废水主要污染因子为pH、COD、SS、NH</w:t>
      </w:r>
      <w:r>
        <w:rPr>
          <w:rFonts w:hint="default" w:ascii="Times New Roman" w:hAnsi="Times New Roman" w:cs="Times New Roman"/>
          <w:sz w:val="24"/>
          <w:highlight w:val="none"/>
          <w:vertAlign w:val="subscript"/>
        </w:rPr>
        <w:t>3</w:t>
      </w:r>
      <w:r>
        <w:rPr>
          <w:rFonts w:hint="default" w:ascii="Times New Roman" w:hAnsi="Times New Roman" w:cs="Times New Roman"/>
          <w:sz w:val="24"/>
          <w:highlight w:val="none"/>
        </w:rPr>
        <w:t>-H等，甲醛质量分数约为1~2%，湿气分离器废水回用至吸收塔吸收甲醛用，不外排。</w:t>
      </w:r>
    </w:p>
    <w:p>
      <w:pPr>
        <w:pStyle w:val="59"/>
        <w:spacing w:after="0" w:line="480" w:lineRule="exact"/>
        <w:ind w:firstLine="480"/>
        <w:rPr>
          <w:rFonts w:hint="default" w:ascii="Times New Roman" w:hAnsi="Times New Roman" w:cs="Times New Roman"/>
          <w:sz w:val="24"/>
          <w:highlight w:val="none"/>
        </w:rPr>
      </w:pPr>
      <w:r>
        <w:rPr>
          <w:rFonts w:hint="default" w:ascii="Times New Roman" w:hAnsi="Times New Roman" w:cs="Times New Roman"/>
          <w:sz w:val="24"/>
          <w:highlight w:val="none"/>
        </w:rPr>
        <w:t>控制方式：根据《国家安全监管总局关于公布首批重点监管的危险化工工艺目录的通知》（安监总管三[2009]116号），甲醇制甲醛是首批十五种危险工艺中的氧化工艺，根据文件要求，生产工序采用DCS系统进行控制。</w:t>
      </w:r>
    </w:p>
    <w:p>
      <w:pPr>
        <w:pStyle w:val="59"/>
        <w:spacing w:after="0" w:line="480" w:lineRule="exact"/>
        <w:ind w:firstLine="480"/>
        <w:rPr>
          <w:rFonts w:hint="default" w:ascii="Times New Roman" w:hAnsi="Times New Roman" w:cs="Times New Roman"/>
        </w:rPr>
      </w:pPr>
      <w:r>
        <w:rPr>
          <w:rFonts w:hint="default" w:ascii="Times New Roman" w:hAnsi="Times New Roman" w:cs="Times New Roman"/>
          <w:sz w:val="24"/>
          <w:highlight w:val="none"/>
        </w:rPr>
        <w:t>氧化反应釜内温度和压力参数与反应物的配比和流量、氧化反应釜夹套冷却水进水阀、金及冷却系统形成连锁关系，在氧化反应釜处设立紧急停车系统，当氧化反应釜内温度超标或压力超标发生故障时，自动停止加料并紧急停车。配备有安全阀、爆破片等安全设施，自动控制系统水平符合氧化工艺要求</w:t>
      </w:r>
      <w:r>
        <w:rPr>
          <w:rFonts w:hint="default" w:ascii="Times New Roman" w:hAnsi="Times New Roman" w:cs="Times New Roman"/>
        </w:rPr>
        <w:t>。</w:t>
      </w:r>
    </w:p>
    <w:p>
      <w:pPr>
        <w:spacing w:line="480" w:lineRule="exact"/>
        <w:ind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甲醛生产工艺流程及产污环节图见图</w:t>
      </w:r>
      <w:r>
        <w:rPr>
          <w:rFonts w:hint="default" w:ascii="Times New Roman" w:hAnsi="Times New Roman" w:cs="Times New Roman"/>
          <w:color w:val="auto"/>
          <w:lang w:val="en-US" w:eastAsia="zh-CN"/>
        </w:rPr>
        <w:t>3.4-1</w:t>
      </w:r>
      <w:r>
        <w:rPr>
          <w:rFonts w:hint="default" w:ascii="Times New Roman" w:hAnsi="Times New Roman" w:cs="Times New Roman"/>
          <w:color w:val="000000"/>
          <w:sz w:val="24"/>
          <w:szCs w:val="24"/>
          <w:highlight w:val="none"/>
        </w:rPr>
        <w:t>。排污节点说明见表</w:t>
      </w:r>
      <w:r>
        <w:rPr>
          <w:rFonts w:hint="default" w:ascii="Times New Roman" w:hAnsi="Times New Roman" w:cs="Times New Roman"/>
          <w:color w:val="auto"/>
          <w:lang w:val="en-US" w:eastAsia="zh-CN"/>
        </w:rPr>
        <w:t>3.4-1</w:t>
      </w:r>
      <w:r>
        <w:rPr>
          <w:rFonts w:hint="default" w:ascii="Times New Roman" w:hAnsi="Times New Roman" w:cs="Times New Roman"/>
          <w:color w:val="000000"/>
          <w:sz w:val="24"/>
          <w:szCs w:val="24"/>
          <w:highlight w:val="none"/>
        </w:rPr>
        <w:t>。</w:t>
      </w:r>
    </w:p>
    <w:p>
      <w:pPr>
        <w:spacing w:line="480" w:lineRule="exact"/>
        <w:ind w:firstLine="480"/>
        <w:jc w:val="center"/>
        <w:rPr>
          <w:rFonts w:hint="default" w:ascii="Times New Roman" w:hAnsi="Times New Roman" w:eastAsia="黑体" w:cs="Times New Roman"/>
          <w:color w:val="000000"/>
          <w:sz w:val="24"/>
          <w:szCs w:val="24"/>
          <w:highlight w:val="none"/>
        </w:rPr>
      </w:pPr>
      <w:r>
        <w:rPr>
          <w:rFonts w:hint="default" w:ascii="Times New Roman" w:hAnsi="Times New Roman" w:eastAsia="黑体" w:cs="Times New Roman"/>
          <w:color w:val="000000"/>
          <w:sz w:val="24"/>
          <w:szCs w:val="24"/>
          <w:highlight w:val="none"/>
        </w:rPr>
        <w:t>表</w:t>
      </w:r>
      <w:r>
        <w:rPr>
          <w:rFonts w:hint="default" w:ascii="Times New Roman" w:hAnsi="Times New Roman" w:cs="Times New Roman"/>
          <w:color w:val="auto"/>
          <w:lang w:val="en-US" w:eastAsia="zh-CN"/>
        </w:rPr>
        <w:t>3.4-1</w:t>
      </w:r>
      <w:r>
        <w:rPr>
          <w:rFonts w:hint="default" w:ascii="Times New Roman" w:hAnsi="Times New Roman" w:eastAsia="黑体" w:cs="Times New Roman"/>
          <w:color w:val="000000"/>
          <w:sz w:val="24"/>
          <w:szCs w:val="24"/>
          <w:highlight w:val="none"/>
        </w:rPr>
        <w:t xml:space="preserve">  甲醛生产装置产排污节点一览表</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0"/>
        <w:gridCol w:w="814"/>
        <w:gridCol w:w="1689"/>
        <w:gridCol w:w="2152"/>
        <w:gridCol w:w="1095"/>
        <w:gridCol w:w="26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0"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类别</w:t>
            </w:r>
          </w:p>
        </w:tc>
        <w:tc>
          <w:tcPr>
            <w:tcW w:w="814"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序号</w:t>
            </w:r>
          </w:p>
        </w:tc>
        <w:tc>
          <w:tcPr>
            <w:tcW w:w="1689"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产生源</w:t>
            </w:r>
          </w:p>
        </w:tc>
        <w:tc>
          <w:tcPr>
            <w:tcW w:w="21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主要成分</w:t>
            </w:r>
          </w:p>
        </w:tc>
        <w:tc>
          <w:tcPr>
            <w:tcW w:w="1095"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产生特点</w:t>
            </w:r>
          </w:p>
        </w:tc>
        <w:tc>
          <w:tcPr>
            <w:tcW w:w="26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处理方式及排放去向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0"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废气</w:t>
            </w:r>
          </w:p>
        </w:tc>
        <w:tc>
          <w:tcPr>
            <w:tcW w:w="814"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G1-1</w:t>
            </w:r>
          </w:p>
        </w:tc>
        <w:tc>
          <w:tcPr>
            <w:tcW w:w="1689" w:type="dxa"/>
            <w:tcBorders>
              <w:tl2br w:val="nil"/>
              <w:tr2bl w:val="nil"/>
            </w:tcBorders>
            <w:noWrap w:val="0"/>
            <w:vAlign w:val="center"/>
          </w:tcPr>
          <w:p>
            <w:pPr>
              <w:pStyle w:val="61"/>
              <w:keepNext w:val="0"/>
              <w:keepLines w:val="0"/>
              <w:pageBreakBefore w:val="0"/>
              <w:widowControl w:val="0"/>
              <w:kinsoku/>
              <w:wordWrap/>
              <w:overflowPunct/>
              <w:topLinePunct w:val="0"/>
              <w:bidi w:val="0"/>
              <w:adjustRightInd/>
              <w:snapToGrid/>
              <w:spacing w:line="240" w:lineRule="atLeast"/>
              <w:ind w:firstLine="0" w:firstLineChars="0"/>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甲醛吸收塔未吸收尾气</w:t>
            </w:r>
          </w:p>
        </w:tc>
        <w:tc>
          <w:tcPr>
            <w:tcW w:w="21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甲醇、甲醛、H</w:t>
            </w:r>
            <w:r>
              <w:rPr>
                <w:rFonts w:hint="default" w:ascii="Times New Roman" w:hAnsi="Times New Roman" w:cs="Times New Roman"/>
                <w:kern w:val="2"/>
                <w:sz w:val="21"/>
                <w:szCs w:val="21"/>
                <w:highlight w:val="none"/>
                <w:vertAlign w:val="subscript"/>
                <w:lang w:bidi="ar"/>
              </w:rPr>
              <w:t>2</w:t>
            </w:r>
            <w:r>
              <w:rPr>
                <w:rFonts w:hint="default" w:ascii="Times New Roman" w:hAnsi="Times New Roman" w:cs="Times New Roman"/>
                <w:kern w:val="2"/>
                <w:sz w:val="21"/>
                <w:szCs w:val="21"/>
                <w:highlight w:val="none"/>
                <w:lang w:bidi="ar"/>
              </w:rPr>
              <w:t>、N</w:t>
            </w:r>
            <w:r>
              <w:rPr>
                <w:rFonts w:hint="default" w:ascii="Times New Roman" w:hAnsi="Times New Roman" w:cs="Times New Roman"/>
                <w:kern w:val="2"/>
                <w:sz w:val="21"/>
                <w:szCs w:val="21"/>
                <w:highlight w:val="none"/>
                <w:vertAlign w:val="subscript"/>
                <w:lang w:bidi="ar"/>
              </w:rPr>
              <w:t>2</w:t>
            </w:r>
            <w:r>
              <w:rPr>
                <w:rFonts w:hint="default" w:ascii="Times New Roman" w:hAnsi="Times New Roman" w:cs="Times New Roman"/>
                <w:kern w:val="2"/>
                <w:sz w:val="21"/>
                <w:szCs w:val="21"/>
                <w:highlight w:val="none"/>
                <w:lang w:bidi="ar"/>
              </w:rPr>
              <w:t>、CO、CO</w:t>
            </w:r>
            <w:r>
              <w:rPr>
                <w:rFonts w:hint="default" w:ascii="Times New Roman" w:hAnsi="Times New Roman" w:cs="Times New Roman"/>
                <w:kern w:val="2"/>
                <w:sz w:val="21"/>
                <w:szCs w:val="21"/>
                <w:highlight w:val="none"/>
                <w:vertAlign w:val="subscript"/>
                <w:lang w:bidi="ar"/>
              </w:rPr>
              <w:t>2</w:t>
            </w:r>
            <w:r>
              <w:rPr>
                <w:rFonts w:hint="default" w:ascii="Times New Roman" w:hAnsi="Times New Roman" w:cs="Times New Roman"/>
                <w:kern w:val="2"/>
                <w:sz w:val="21"/>
                <w:szCs w:val="21"/>
                <w:highlight w:val="none"/>
                <w:lang w:bidi="ar"/>
              </w:rPr>
              <w:t>、CH</w:t>
            </w:r>
            <w:r>
              <w:rPr>
                <w:rFonts w:hint="default" w:ascii="Times New Roman" w:hAnsi="Times New Roman" w:cs="Times New Roman"/>
                <w:kern w:val="2"/>
                <w:sz w:val="21"/>
                <w:szCs w:val="21"/>
                <w:highlight w:val="none"/>
                <w:vertAlign w:val="subscript"/>
                <w:lang w:bidi="ar"/>
              </w:rPr>
              <w:t>4</w:t>
            </w:r>
            <w:r>
              <w:rPr>
                <w:rFonts w:hint="default" w:ascii="Times New Roman" w:hAnsi="Times New Roman" w:cs="Times New Roman"/>
                <w:kern w:val="2"/>
                <w:sz w:val="21"/>
                <w:szCs w:val="21"/>
                <w:highlight w:val="none"/>
                <w:lang w:bidi="ar"/>
              </w:rPr>
              <w:t>等</w:t>
            </w:r>
          </w:p>
        </w:tc>
        <w:tc>
          <w:tcPr>
            <w:tcW w:w="1095"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color w:val="auto"/>
                <w:kern w:val="2"/>
                <w:sz w:val="21"/>
                <w:szCs w:val="21"/>
                <w:highlight w:val="none"/>
                <w:lang w:bidi="ar"/>
              </w:rPr>
            </w:pPr>
            <w:r>
              <w:rPr>
                <w:rFonts w:hint="default" w:ascii="Times New Roman" w:hAnsi="Times New Roman" w:cs="Times New Roman"/>
                <w:color w:val="auto"/>
                <w:kern w:val="2"/>
                <w:sz w:val="21"/>
                <w:szCs w:val="21"/>
                <w:highlight w:val="none"/>
                <w:lang w:bidi="ar"/>
              </w:rPr>
              <w:t>连续</w:t>
            </w:r>
          </w:p>
        </w:tc>
        <w:tc>
          <w:tcPr>
            <w:tcW w:w="2652" w:type="dxa"/>
            <w:tcBorders>
              <w:tl2br w:val="nil"/>
              <w:tr2bl w:val="nil"/>
            </w:tcBorders>
            <w:noWrap w:val="0"/>
            <w:vAlign w:val="center"/>
          </w:tcPr>
          <w:p>
            <w:pPr>
              <w:pStyle w:val="61"/>
              <w:keepNext w:val="0"/>
              <w:keepLines w:val="0"/>
              <w:pageBreakBefore w:val="0"/>
              <w:widowControl w:val="0"/>
              <w:kinsoku/>
              <w:wordWrap/>
              <w:overflowPunct/>
              <w:topLinePunct w:val="0"/>
              <w:bidi w:val="0"/>
              <w:adjustRightInd/>
              <w:snapToGrid/>
              <w:spacing w:line="240" w:lineRule="atLeast"/>
              <w:ind w:firstLine="0" w:firstLineChars="0"/>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经2台</w:t>
            </w:r>
            <w:r>
              <w:rPr>
                <w:rFonts w:hint="default" w:ascii="Times New Roman" w:hAnsi="Times New Roman" w:cs="Times New Roman"/>
                <w:color w:val="auto"/>
                <w:sz w:val="21"/>
                <w:szCs w:val="21"/>
                <w:highlight w:val="none"/>
                <w:lang w:eastAsia="zh-CN"/>
              </w:rPr>
              <w:t>尾气锅炉焚烧后经排气筒P1排放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0" w:type="dxa"/>
            <w:vMerge w:val="restart"/>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固废</w:t>
            </w:r>
          </w:p>
        </w:tc>
        <w:tc>
          <w:tcPr>
            <w:tcW w:w="814"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S1-1</w:t>
            </w:r>
          </w:p>
        </w:tc>
        <w:tc>
          <w:tcPr>
            <w:tcW w:w="1689"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甲醇过滤器</w:t>
            </w:r>
          </w:p>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废滤网</w:t>
            </w:r>
          </w:p>
        </w:tc>
        <w:tc>
          <w:tcPr>
            <w:tcW w:w="21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甲醇、机械杂质、不锈钢</w:t>
            </w:r>
          </w:p>
        </w:tc>
        <w:tc>
          <w:tcPr>
            <w:tcW w:w="1095"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间断</w:t>
            </w:r>
          </w:p>
        </w:tc>
        <w:tc>
          <w:tcPr>
            <w:tcW w:w="26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highlight w:val="none"/>
                <w:lang w:bidi="ar"/>
              </w:rPr>
            </w:pPr>
            <w:r>
              <w:rPr>
                <w:rFonts w:hint="default" w:ascii="Times New Roman" w:hAnsi="Times New Roman" w:cs="Times New Roman"/>
                <w:kern w:val="2"/>
                <w:sz w:val="21"/>
                <w:szCs w:val="21"/>
                <w:highlight w:val="none"/>
                <w:lang w:bidi="ar"/>
              </w:rPr>
              <w:t>送资质单位处理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0" w:type="dxa"/>
            <w:vMerge w:val="continue"/>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p>
        </w:tc>
        <w:tc>
          <w:tcPr>
            <w:tcW w:w="814"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S1-2</w:t>
            </w:r>
          </w:p>
        </w:tc>
        <w:tc>
          <w:tcPr>
            <w:tcW w:w="1689"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空气过滤器</w:t>
            </w:r>
          </w:p>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废滤芯</w:t>
            </w:r>
          </w:p>
        </w:tc>
        <w:tc>
          <w:tcPr>
            <w:tcW w:w="21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无纺布、杂质</w:t>
            </w:r>
          </w:p>
        </w:tc>
        <w:tc>
          <w:tcPr>
            <w:tcW w:w="1095"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间断</w:t>
            </w:r>
          </w:p>
        </w:tc>
        <w:tc>
          <w:tcPr>
            <w:tcW w:w="26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由环卫部门定期清运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0" w:type="dxa"/>
            <w:vMerge w:val="continue"/>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p>
        </w:tc>
        <w:tc>
          <w:tcPr>
            <w:tcW w:w="814"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S1-3</w:t>
            </w:r>
          </w:p>
        </w:tc>
        <w:tc>
          <w:tcPr>
            <w:tcW w:w="1689"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甲醇蒸发残液</w:t>
            </w:r>
          </w:p>
        </w:tc>
        <w:tc>
          <w:tcPr>
            <w:tcW w:w="21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有机油状物、</w:t>
            </w:r>
          </w:p>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蜡状物</w:t>
            </w:r>
          </w:p>
        </w:tc>
        <w:tc>
          <w:tcPr>
            <w:tcW w:w="1095"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间断</w:t>
            </w:r>
          </w:p>
        </w:tc>
        <w:tc>
          <w:tcPr>
            <w:tcW w:w="26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送资质单位处理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0" w:type="dxa"/>
            <w:vMerge w:val="continue"/>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p>
        </w:tc>
        <w:tc>
          <w:tcPr>
            <w:tcW w:w="814"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S1-4</w:t>
            </w:r>
          </w:p>
        </w:tc>
        <w:tc>
          <w:tcPr>
            <w:tcW w:w="1689"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废银催化剂</w:t>
            </w:r>
          </w:p>
        </w:tc>
        <w:tc>
          <w:tcPr>
            <w:tcW w:w="21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Ag、甲醛、甲醇</w:t>
            </w:r>
          </w:p>
        </w:tc>
        <w:tc>
          <w:tcPr>
            <w:tcW w:w="1095"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间断</w:t>
            </w:r>
          </w:p>
        </w:tc>
        <w:tc>
          <w:tcPr>
            <w:tcW w:w="2652"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val="en-US" w:eastAsia="zh-CN" w:bidi="ar"/>
              </w:rPr>
              <w:t>由厂家回收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0"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噪声</w:t>
            </w:r>
          </w:p>
        </w:tc>
        <w:tc>
          <w:tcPr>
            <w:tcW w:w="814" w:type="dxa"/>
            <w:tcBorders>
              <w:tl2br w:val="nil"/>
              <w:tr2bl w:val="nil"/>
            </w:tcBorders>
            <w:noWrap w:val="0"/>
            <w:vAlign w:val="center"/>
          </w:tcPr>
          <w:p>
            <w:pPr>
              <w:pStyle w:val="15"/>
              <w:keepNext w:val="0"/>
              <w:keepLines w:val="0"/>
              <w:pageBreakBefore w:val="0"/>
              <w:widowControl w:val="0"/>
              <w:kinsoku/>
              <w:wordWrap/>
              <w:overflowPunct/>
              <w:topLinePunct w:val="0"/>
              <w:autoSpaceDE w:val="0"/>
              <w:autoSpaceDN w:val="0"/>
              <w:bidi w:val="0"/>
              <w:adjustRightInd/>
              <w:snapToGrid/>
              <w:spacing w:after="0" w:line="240" w:lineRule="atLeast"/>
              <w:ind w:firstLine="0" w:firstLineChars="0"/>
              <w:jc w:val="center"/>
              <w:textAlignment w:val="auto"/>
              <w:rPr>
                <w:rFonts w:hint="default" w:ascii="Times New Roman" w:hAnsi="Times New Roman" w:cs="Times New Roman"/>
                <w:kern w:val="2"/>
                <w:sz w:val="21"/>
                <w:szCs w:val="21"/>
                <w:lang w:bidi="ar"/>
              </w:rPr>
            </w:pPr>
            <w:r>
              <w:rPr>
                <w:rFonts w:hint="default" w:ascii="Times New Roman" w:hAnsi="Times New Roman" w:cs="Times New Roman"/>
                <w:kern w:val="2"/>
                <w:sz w:val="21"/>
                <w:szCs w:val="21"/>
                <w:lang w:bidi="ar"/>
              </w:rPr>
              <w:t>N1</w:t>
            </w:r>
          </w:p>
        </w:tc>
        <w:tc>
          <w:tcPr>
            <w:tcW w:w="1689" w:type="dxa"/>
            <w:tcBorders>
              <w:tl2br w:val="nil"/>
              <w:tr2bl w:val="nil"/>
            </w:tcBorders>
            <w:noWrap w:val="0"/>
            <w:vAlign w:val="center"/>
          </w:tcPr>
          <w:p>
            <w:pPr>
              <w:pStyle w:val="65"/>
              <w:keepNext w:val="0"/>
              <w:keepLines w:val="0"/>
              <w:pageBreakBefore w:val="0"/>
              <w:widowControl w:val="0"/>
              <w:kinsoku/>
              <w:wordWrap/>
              <w:overflowPunct/>
              <w:topLinePunct w:val="0"/>
              <w:bidi w:val="0"/>
              <w:adjustRightInd/>
              <w:snapToGrid/>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各生产设备</w:t>
            </w:r>
          </w:p>
          <w:p>
            <w:pPr>
              <w:pStyle w:val="65"/>
              <w:keepNext w:val="0"/>
              <w:keepLines w:val="0"/>
              <w:pageBreakBefore w:val="0"/>
              <w:widowControl w:val="0"/>
              <w:kinsoku/>
              <w:wordWrap/>
              <w:overflowPunct/>
              <w:topLinePunct w:val="0"/>
              <w:bidi w:val="0"/>
              <w:adjustRightInd/>
              <w:snapToGrid/>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噪声</w:t>
            </w:r>
          </w:p>
        </w:tc>
        <w:tc>
          <w:tcPr>
            <w:tcW w:w="2152" w:type="dxa"/>
            <w:tcBorders>
              <w:tl2br w:val="nil"/>
              <w:tr2bl w:val="nil"/>
            </w:tcBorders>
            <w:noWrap w:val="0"/>
            <w:vAlign w:val="center"/>
          </w:tcPr>
          <w:p>
            <w:pPr>
              <w:pStyle w:val="65"/>
              <w:keepNext w:val="0"/>
              <w:keepLines w:val="0"/>
              <w:pageBreakBefore w:val="0"/>
              <w:widowControl w:val="0"/>
              <w:kinsoku/>
              <w:wordWrap/>
              <w:overflowPunct/>
              <w:topLinePunct w:val="0"/>
              <w:bidi w:val="0"/>
              <w:adjustRightInd/>
              <w:snapToGrid/>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噪声</w:t>
            </w:r>
          </w:p>
        </w:tc>
        <w:tc>
          <w:tcPr>
            <w:tcW w:w="1095" w:type="dxa"/>
            <w:tcBorders>
              <w:tl2br w:val="nil"/>
              <w:tr2bl w:val="nil"/>
            </w:tcBorders>
            <w:noWrap w:val="0"/>
            <w:vAlign w:val="center"/>
          </w:tcPr>
          <w:p>
            <w:pPr>
              <w:pStyle w:val="65"/>
              <w:keepNext w:val="0"/>
              <w:keepLines w:val="0"/>
              <w:pageBreakBefore w:val="0"/>
              <w:widowControl w:val="0"/>
              <w:kinsoku/>
              <w:wordWrap/>
              <w:overflowPunct/>
              <w:topLinePunct w:val="0"/>
              <w:bidi w:val="0"/>
              <w:adjustRightInd/>
              <w:snapToGrid/>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连续</w:t>
            </w:r>
          </w:p>
        </w:tc>
        <w:tc>
          <w:tcPr>
            <w:tcW w:w="2652" w:type="dxa"/>
            <w:tcBorders>
              <w:tl2br w:val="nil"/>
              <w:tr2bl w:val="nil"/>
            </w:tcBorders>
            <w:noWrap w:val="0"/>
            <w:vAlign w:val="center"/>
          </w:tcPr>
          <w:p>
            <w:pPr>
              <w:pStyle w:val="65"/>
              <w:keepNext w:val="0"/>
              <w:keepLines w:val="0"/>
              <w:pageBreakBefore w:val="0"/>
              <w:widowControl w:val="0"/>
              <w:kinsoku/>
              <w:wordWrap/>
              <w:overflowPunct/>
              <w:topLinePunct w:val="0"/>
              <w:bidi w:val="0"/>
              <w:adjustRightInd/>
              <w:snapToGrid/>
              <w:spacing w:line="240" w:lineRule="atLeast"/>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基础减振+隔声</w:t>
            </w:r>
          </w:p>
        </w:tc>
      </w:tr>
    </w:tbl>
    <w:p>
      <w:pPr>
        <w:numPr>
          <w:ilvl w:val="0"/>
          <w:numId w:val="0"/>
        </w:numPr>
        <w:spacing w:line="360" w:lineRule="auto"/>
        <w:ind w:firstLine="480" w:firstLineChars="200"/>
        <w:rPr>
          <w:rFonts w:hint="default" w:ascii="Times New Roman" w:hAnsi="Times New Roman" w:cs="Times New Roman"/>
          <w:sz w:val="24"/>
        </w:rPr>
      </w:pPr>
    </w:p>
    <w:p>
      <w:pPr>
        <w:jc w:val="center"/>
        <w:rPr>
          <w:rFonts w:hint="default" w:ascii="Times New Roman" w:hAnsi="Times New Roman" w:cs="Times New Roman"/>
          <w:b/>
          <w:bCs w:val="0"/>
          <w:color w:val="FF0000"/>
          <w:sz w:val="24"/>
          <w:szCs w:val="24"/>
          <w:lang w:val="en-US" w:eastAsia="zh-CN"/>
        </w:rPr>
        <w:sectPr>
          <w:pgSz w:w="11906" w:h="16838"/>
          <w:pgMar w:top="1417" w:right="1417" w:bottom="1247" w:left="158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pPr>
    </w:p>
    <w:p>
      <w:pPr>
        <w:pStyle w:val="28"/>
        <w:ind w:left="0" w:leftChars="0" w:firstLine="0" w:firstLineChars="0"/>
        <w:jc w:val="center"/>
        <w:rPr>
          <w:rFonts w:hint="default" w:ascii="Times New Roman" w:hAnsi="Times New Roman" w:cs="Times New Roman"/>
          <w:lang w:val="en-US" w:eastAsia="zh-CN"/>
        </w:rPr>
      </w:pPr>
      <w:r>
        <w:rPr>
          <w:rFonts w:hint="default" w:ascii="Times New Roman" w:hAnsi="Times New Roman" w:cs="Times New Roman"/>
        </w:rPr>
        <w:drawing>
          <wp:inline distT="0" distB="0" distL="114300" distR="114300">
            <wp:extent cx="8801100" cy="4745990"/>
            <wp:effectExtent l="0" t="0" r="0" b="16510"/>
            <wp:docPr id="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13"/>
                    <a:stretch>
                      <a:fillRect/>
                    </a:stretch>
                  </pic:blipFill>
                  <pic:spPr>
                    <a:xfrm>
                      <a:off x="0" y="0"/>
                      <a:ext cx="8801100" cy="4745990"/>
                    </a:xfrm>
                    <a:prstGeom prst="rect">
                      <a:avLst/>
                    </a:prstGeom>
                    <a:noFill/>
                    <a:ln>
                      <a:noFill/>
                    </a:ln>
                  </pic:spPr>
                </pic:pic>
              </a:graphicData>
            </a:graphic>
          </wp:inline>
        </w:drawing>
      </w:r>
    </w:p>
    <w:p>
      <w:pPr>
        <w:pStyle w:val="36"/>
        <w:bidi w:val="0"/>
        <w:rPr>
          <w:rFonts w:hint="default" w:ascii="Times New Roman" w:hAnsi="Times New Roman" w:cs="Times New Roman"/>
          <w:color w:val="auto"/>
          <w:lang w:val="en-US" w:eastAsia="zh-CN"/>
        </w:rPr>
      </w:pPr>
    </w:p>
    <w:p>
      <w:pPr>
        <w:pStyle w:val="3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图3.4-1  </w:t>
      </w:r>
      <w:r>
        <w:rPr>
          <w:rFonts w:hint="default" w:ascii="Times New Roman" w:hAnsi="Times New Roman" w:eastAsia="黑体" w:cs="Times New Roman"/>
          <w:sz w:val="24"/>
          <w:szCs w:val="24"/>
          <w:highlight w:val="none"/>
        </w:rPr>
        <w:t>甲醛装置</w:t>
      </w:r>
      <w:r>
        <w:rPr>
          <w:rFonts w:hint="default" w:ascii="Times New Roman" w:hAnsi="Times New Roman" w:cs="Times New Roman"/>
          <w:color w:val="auto"/>
          <w:lang w:val="en-US" w:eastAsia="zh-CN"/>
        </w:rPr>
        <w:t>工艺流程及产污环节图</w:t>
      </w:r>
    </w:p>
    <w:p>
      <w:pPr>
        <w:bidi w:val="0"/>
        <w:rPr>
          <w:rFonts w:hint="default" w:ascii="Times New Roman" w:hAnsi="Times New Roman" w:cs="Times New Roman"/>
          <w:b/>
          <w:bCs/>
          <w:color w:val="auto"/>
          <w:lang w:val="en-US" w:eastAsia="zh-CN"/>
        </w:rPr>
        <w:sectPr>
          <w:pgSz w:w="16838" w:h="11906" w:orient="landscape"/>
          <w:pgMar w:top="1587" w:right="1417" w:bottom="1417" w:left="124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pPr>
    </w:p>
    <w:bookmarkEnd w:id="59"/>
    <w:p>
      <w:pPr>
        <w:pStyle w:val="4"/>
        <w:bidi w:val="0"/>
        <w:rPr>
          <w:rFonts w:hint="default" w:ascii="Times New Roman" w:hAnsi="Times New Roman" w:cs="Times New Roman"/>
          <w:color w:val="auto"/>
        </w:rPr>
      </w:pPr>
      <w:bookmarkStart w:id="65" w:name="_Toc23305"/>
      <w:r>
        <w:rPr>
          <w:rFonts w:hint="default" w:ascii="Times New Roman" w:hAnsi="Times New Roman" w:cs="Times New Roman"/>
          <w:color w:val="auto"/>
        </w:rPr>
        <w:t>3.5 安全生产管理</w:t>
      </w:r>
      <w:bookmarkEnd w:id="60"/>
      <w:bookmarkEnd w:id="61"/>
      <w:bookmarkEnd w:id="62"/>
      <w:bookmarkEnd w:id="63"/>
      <w:bookmarkEnd w:id="64"/>
      <w:bookmarkEnd w:id="65"/>
    </w:p>
    <w:p>
      <w:pPr>
        <w:bidi w:val="0"/>
        <w:rPr>
          <w:rFonts w:hint="default" w:ascii="Times New Roman" w:hAnsi="Times New Roman" w:cs="Times New Roman"/>
          <w:color w:val="auto"/>
        </w:rPr>
      </w:pPr>
      <w:r>
        <w:rPr>
          <w:rFonts w:hint="default" w:ascii="Times New Roman" w:hAnsi="Times New Roman" w:cs="Times New Roman"/>
          <w:color w:val="auto"/>
          <w:lang w:eastAsia="zh-CN"/>
        </w:rPr>
        <w:t>山东省润泰新材料有限公司</w:t>
      </w:r>
      <w:r>
        <w:rPr>
          <w:rFonts w:hint="default" w:ascii="Times New Roman" w:hAnsi="Times New Roman" w:cs="Times New Roman"/>
          <w:color w:val="auto"/>
        </w:rPr>
        <w:t>已建立相关安全生产管理制度，企业安全生产控制情况见下表。</w:t>
      </w:r>
    </w:p>
    <w:p>
      <w:pPr>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表3.5-1 公司安全生产控制评估情况</w:t>
      </w:r>
    </w:p>
    <w:tbl>
      <w:tblPr>
        <w:tblStyle w:val="29"/>
        <w:tblW w:w="912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496"/>
        <w:gridCol w:w="5690"/>
        <w:gridCol w:w="19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 w:hRule="atLeast"/>
          <w:tblHeader/>
          <w:jc w:val="center"/>
        </w:trPr>
        <w:tc>
          <w:tcPr>
            <w:tcW w:w="1496"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评估指标</w:t>
            </w:r>
          </w:p>
        </w:tc>
        <w:tc>
          <w:tcPr>
            <w:tcW w:w="5690"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评估依据</w:t>
            </w:r>
          </w:p>
        </w:tc>
        <w:tc>
          <w:tcPr>
            <w:tcW w:w="1940"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企业情况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5" w:hRule="atLeast"/>
          <w:jc w:val="center"/>
        </w:trPr>
        <w:tc>
          <w:tcPr>
            <w:tcW w:w="1496" w:type="dxa"/>
            <w:vMerge w:val="restart"/>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消防验收</w:t>
            </w:r>
          </w:p>
        </w:tc>
        <w:tc>
          <w:tcPr>
            <w:tcW w:w="5690"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消防验收意见为合格，且最近一次消防检查合格</w:t>
            </w:r>
          </w:p>
        </w:tc>
        <w:tc>
          <w:tcPr>
            <w:tcW w:w="1940" w:type="dxa"/>
            <w:vMerge w:val="restart"/>
            <w:tcBorders>
              <w:tl2br w:val="nil"/>
              <w:tr2bl w:val="nil"/>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消防</w:t>
            </w:r>
            <w:r>
              <w:rPr>
                <w:rFonts w:hint="default" w:ascii="Times New Roman" w:hAnsi="Times New Roman" w:cs="Times New Roman"/>
                <w:color w:val="auto"/>
                <w:lang w:val="en-US" w:eastAsia="zh-CN"/>
              </w:rPr>
              <w:t>已</w:t>
            </w:r>
            <w:r>
              <w:rPr>
                <w:rFonts w:hint="default" w:ascii="Times New Roman" w:hAnsi="Times New Roman" w:cs="Times New Roman"/>
                <w:color w:val="auto"/>
              </w:rPr>
              <w:t>验收</w:t>
            </w:r>
            <w:r>
              <w:rPr>
                <w:rFonts w:hint="default" w:ascii="Times New Roman" w:hAnsi="Times New Roman" w:cs="Times New Roman"/>
                <w:color w:val="auto"/>
                <w:lang w:val="en-US" w:eastAsia="zh-CN"/>
              </w:rPr>
              <w:t>合格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9" w:hRule="atLeast"/>
          <w:jc w:val="center"/>
        </w:trPr>
        <w:tc>
          <w:tcPr>
            <w:tcW w:w="1496" w:type="dxa"/>
            <w:vMerge w:val="continue"/>
            <w:tcBorders>
              <w:tl2br w:val="nil"/>
              <w:tr2bl w:val="nil"/>
            </w:tcBorders>
            <w:noWrap w:val="0"/>
            <w:vAlign w:val="center"/>
          </w:tcPr>
          <w:p>
            <w:pPr>
              <w:pStyle w:val="6"/>
              <w:bidi w:val="0"/>
              <w:outlineLvl w:val="9"/>
              <w:rPr>
                <w:rFonts w:hint="default" w:ascii="Times New Roman" w:hAnsi="Times New Roman" w:cs="Times New Roman"/>
                <w:color w:val="auto"/>
              </w:rPr>
            </w:pPr>
          </w:p>
        </w:tc>
        <w:tc>
          <w:tcPr>
            <w:tcW w:w="5690"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消防验收意见不合格，或最近一次消防检查不合格</w:t>
            </w:r>
          </w:p>
        </w:tc>
        <w:tc>
          <w:tcPr>
            <w:tcW w:w="1940" w:type="dxa"/>
            <w:vMerge w:val="continue"/>
            <w:tcBorders>
              <w:tl2br w:val="nil"/>
              <w:tr2bl w:val="nil"/>
            </w:tcBorders>
            <w:noWrap w:val="0"/>
            <w:vAlign w:val="center"/>
          </w:tcPr>
          <w:p>
            <w:pPr>
              <w:pStyle w:val="6"/>
              <w:bidi w:val="0"/>
              <w:outlineLvl w:val="9"/>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1496" w:type="dxa"/>
            <w:vMerge w:val="restart"/>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安全生产许可</w:t>
            </w:r>
          </w:p>
        </w:tc>
        <w:tc>
          <w:tcPr>
            <w:tcW w:w="5690"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非危险化学品生产企业，或危险化学品生产企业取得安全生产许可</w:t>
            </w:r>
          </w:p>
        </w:tc>
        <w:tc>
          <w:tcPr>
            <w:tcW w:w="1940" w:type="dxa"/>
            <w:vMerge w:val="restart"/>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危险化学品生产企业未取得安全生产许可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1496" w:type="dxa"/>
            <w:vMerge w:val="continue"/>
            <w:tcBorders>
              <w:tl2br w:val="nil"/>
              <w:tr2bl w:val="nil"/>
            </w:tcBorders>
            <w:noWrap w:val="0"/>
            <w:vAlign w:val="center"/>
          </w:tcPr>
          <w:p>
            <w:pPr>
              <w:pStyle w:val="6"/>
              <w:bidi w:val="0"/>
              <w:outlineLvl w:val="9"/>
              <w:rPr>
                <w:rFonts w:hint="default" w:ascii="Times New Roman" w:hAnsi="Times New Roman" w:cs="Times New Roman"/>
                <w:color w:val="auto"/>
              </w:rPr>
            </w:pPr>
          </w:p>
        </w:tc>
        <w:tc>
          <w:tcPr>
            <w:tcW w:w="5690"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危险化学品生产企业未取得安全生产许可</w:t>
            </w:r>
          </w:p>
        </w:tc>
        <w:tc>
          <w:tcPr>
            <w:tcW w:w="1940" w:type="dxa"/>
            <w:vMerge w:val="continue"/>
            <w:tcBorders>
              <w:tl2br w:val="nil"/>
              <w:tr2bl w:val="nil"/>
            </w:tcBorders>
            <w:noWrap w:val="0"/>
            <w:vAlign w:val="center"/>
          </w:tcPr>
          <w:p>
            <w:pPr>
              <w:pStyle w:val="6"/>
              <w:bidi w:val="0"/>
              <w:outlineLvl w:val="9"/>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1496" w:type="dxa"/>
            <w:vMerge w:val="restart"/>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危险化学品安全评价</w:t>
            </w:r>
          </w:p>
        </w:tc>
        <w:tc>
          <w:tcPr>
            <w:tcW w:w="5690"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开展危险化学品安全评价；通过安全设施竣工验收，或无要求</w:t>
            </w:r>
          </w:p>
        </w:tc>
        <w:tc>
          <w:tcPr>
            <w:tcW w:w="1940" w:type="dxa"/>
            <w:vMerge w:val="restart"/>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未开展危险化学品安全评价，或未通过安全设施竣工验收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34" w:hRule="atLeast"/>
          <w:jc w:val="center"/>
        </w:trPr>
        <w:tc>
          <w:tcPr>
            <w:tcW w:w="1496" w:type="dxa"/>
            <w:vMerge w:val="continue"/>
            <w:tcBorders>
              <w:tl2br w:val="nil"/>
              <w:tr2bl w:val="nil"/>
            </w:tcBorders>
            <w:noWrap w:val="0"/>
            <w:vAlign w:val="center"/>
          </w:tcPr>
          <w:p>
            <w:pPr>
              <w:pStyle w:val="6"/>
              <w:bidi w:val="0"/>
              <w:outlineLvl w:val="9"/>
              <w:rPr>
                <w:rFonts w:hint="default" w:ascii="Times New Roman" w:hAnsi="Times New Roman" w:cs="Times New Roman"/>
                <w:color w:val="auto"/>
              </w:rPr>
            </w:pPr>
          </w:p>
        </w:tc>
        <w:tc>
          <w:tcPr>
            <w:tcW w:w="5690" w:type="dxa"/>
            <w:tcBorders>
              <w:tl2br w:val="nil"/>
              <w:tr2bl w:val="nil"/>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未开展危险化学品安全评价，或未通过安全设施竣工验收</w:t>
            </w:r>
          </w:p>
        </w:tc>
        <w:tc>
          <w:tcPr>
            <w:tcW w:w="1940" w:type="dxa"/>
            <w:vMerge w:val="continue"/>
            <w:tcBorders>
              <w:tl2br w:val="nil"/>
              <w:tr2bl w:val="nil"/>
            </w:tcBorders>
            <w:noWrap w:val="0"/>
            <w:vAlign w:val="center"/>
          </w:tcPr>
          <w:p>
            <w:pPr>
              <w:pStyle w:val="6"/>
              <w:bidi w:val="0"/>
              <w:outlineLvl w:val="9"/>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1496" w:type="dxa"/>
            <w:vMerge w:val="restart"/>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危险化学品重大危险源备案</w:t>
            </w:r>
          </w:p>
        </w:tc>
        <w:tc>
          <w:tcPr>
            <w:tcW w:w="5690"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无重大危险源，或所有危险化学品重大危险源均已备案</w:t>
            </w:r>
          </w:p>
        </w:tc>
        <w:tc>
          <w:tcPr>
            <w:tcW w:w="1940" w:type="dxa"/>
            <w:vMerge w:val="restart"/>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所有危险化学品重大危险源均已备案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1496" w:type="dxa"/>
            <w:vMerge w:val="continue"/>
            <w:tcBorders>
              <w:tl2br w:val="nil"/>
              <w:tr2bl w:val="nil"/>
            </w:tcBorders>
            <w:noWrap w:val="0"/>
            <w:vAlign w:val="center"/>
          </w:tcPr>
          <w:p>
            <w:pPr>
              <w:pStyle w:val="6"/>
              <w:bidi w:val="0"/>
              <w:outlineLvl w:val="9"/>
              <w:rPr>
                <w:rFonts w:hint="default" w:ascii="Times New Roman" w:hAnsi="Times New Roman" w:cs="Times New Roman"/>
                <w:color w:val="auto"/>
              </w:rPr>
            </w:pPr>
          </w:p>
        </w:tc>
        <w:tc>
          <w:tcPr>
            <w:tcW w:w="5690"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有危险化学品重大危险源未备案</w:t>
            </w:r>
          </w:p>
        </w:tc>
        <w:tc>
          <w:tcPr>
            <w:tcW w:w="1940" w:type="dxa"/>
            <w:vMerge w:val="continue"/>
            <w:tcBorders>
              <w:tl2br w:val="nil"/>
              <w:tr2bl w:val="nil"/>
            </w:tcBorders>
            <w:noWrap w:val="0"/>
            <w:vAlign w:val="center"/>
          </w:tcPr>
          <w:p>
            <w:pPr>
              <w:pStyle w:val="6"/>
              <w:bidi w:val="0"/>
              <w:outlineLvl w:val="9"/>
              <w:rPr>
                <w:rFonts w:hint="default" w:ascii="Times New Roman" w:hAnsi="Times New Roman" w:cs="Times New Roman"/>
                <w:color w:val="auto"/>
              </w:rPr>
            </w:pPr>
          </w:p>
        </w:tc>
      </w:tr>
    </w:tbl>
    <w:p>
      <w:pPr>
        <w:bidi w:val="0"/>
        <w:rPr>
          <w:rFonts w:hint="default" w:ascii="Times New Roman" w:hAnsi="Times New Roman" w:cs="Times New Roman"/>
          <w:color w:val="auto"/>
        </w:rPr>
      </w:pPr>
      <w:r>
        <w:rPr>
          <w:rFonts w:hint="default" w:ascii="Times New Roman" w:hAnsi="Times New Roman" w:cs="Times New Roman"/>
          <w:color w:val="auto"/>
        </w:rPr>
        <w:t>为了加强对风险源的安全管理，预防危险事件的发生，采取如下措施：</w:t>
      </w:r>
    </w:p>
    <w:p>
      <w:pPr>
        <w:bidi w:val="0"/>
        <w:rPr>
          <w:rFonts w:hint="default" w:ascii="Times New Roman" w:hAnsi="Times New Roman" w:cs="Times New Roman"/>
          <w:color w:val="auto"/>
        </w:rPr>
      </w:pPr>
      <w:r>
        <w:rPr>
          <w:rFonts w:hint="default" w:ascii="Times New Roman" w:hAnsi="Times New Roman" w:cs="Times New Roman"/>
          <w:color w:val="auto"/>
        </w:rPr>
        <w:t>1、建立健全各种安全管理制度</w:t>
      </w:r>
      <w:r>
        <w:rPr>
          <w:rFonts w:hint="default" w:ascii="Times New Roman" w:hAnsi="Times New Roman" w:cs="Times New Roman"/>
          <w:color w:val="auto"/>
          <w:lang w:eastAsia="zh-CN"/>
        </w:rPr>
        <w:t>(</w:t>
      </w:r>
      <w:r>
        <w:rPr>
          <w:rFonts w:hint="default" w:ascii="Times New Roman" w:hAnsi="Times New Roman" w:cs="Times New Roman"/>
          <w:color w:val="auto"/>
        </w:rPr>
        <w:t>包括职业卫生管理制度、消防安全制度、特种设备管理制度</w:t>
      </w:r>
      <w:r>
        <w:rPr>
          <w:rFonts w:hint="default" w:ascii="Times New Roman" w:hAnsi="Times New Roman" w:cs="Times New Roman"/>
          <w:color w:val="auto"/>
          <w:lang w:eastAsia="zh-CN"/>
        </w:rPr>
        <w:t>)</w:t>
      </w:r>
      <w:r>
        <w:rPr>
          <w:rFonts w:hint="default" w:ascii="Times New Roman" w:hAnsi="Times New Roman" w:cs="Times New Roman"/>
          <w:color w:val="auto"/>
        </w:rPr>
        <w:t>及安全操作规程、各部门及各类人员安全职责；</w:t>
      </w:r>
    </w:p>
    <w:p>
      <w:pPr>
        <w:bidi w:val="0"/>
        <w:rPr>
          <w:rFonts w:hint="default" w:ascii="Times New Roman" w:hAnsi="Times New Roman" w:cs="Times New Roman"/>
          <w:color w:val="auto"/>
        </w:rPr>
      </w:pPr>
      <w:r>
        <w:rPr>
          <w:rFonts w:hint="default" w:ascii="Times New Roman" w:hAnsi="Times New Roman" w:cs="Times New Roman"/>
          <w:color w:val="auto"/>
        </w:rPr>
        <w:t>2、建立了二级应急响应机制，当遇到安全事故时，报警启动相应程序，现场人员进行自救，并报告公司应急领导小组，做好现场应急抢救工作，向有关部门报告事故情况，请求公安消防等救灾小组对安全事故进行抢救。</w:t>
      </w:r>
    </w:p>
    <w:p>
      <w:pPr>
        <w:bidi w:val="0"/>
        <w:rPr>
          <w:rFonts w:hint="default" w:ascii="Times New Roman" w:hAnsi="Times New Roman" w:cs="Times New Roman"/>
          <w:color w:val="auto"/>
        </w:rPr>
      </w:pPr>
      <w:r>
        <w:rPr>
          <w:rFonts w:hint="default" w:ascii="Times New Roman" w:hAnsi="Times New Roman" w:cs="Times New Roman"/>
          <w:color w:val="auto"/>
        </w:rPr>
        <w:t>3、建立了信息公开制度，应急办公室及时、准确发布突发事件相关信息。</w:t>
      </w:r>
    </w:p>
    <w:p>
      <w:pPr>
        <w:bidi w:val="0"/>
        <w:rPr>
          <w:rFonts w:hint="default" w:ascii="Times New Roman" w:hAnsi="Times New Roman" w:cs="Times New Roman"/>
          <w:color w:val="auto"/>
        </w:rPr>
      </w:pPr>
      <w:r>
        <w:rPr>
          <w:rFonts w:hint="default" w:ascii="Times New Roman" w:hAnsi="Times New Roman" w:cs="Times New Roman"/>
          <w:color w:val="auto"/>
        </w:rPr>
        <w:t>4、建立了生产安全保证措施，主要包括通信与信息保障、应急队伍保障、应急物资装备保障、经费保障和其他保障等。</w:t>
      </w:r>
    </w:p>
    <w:p>
      <w:pPr>
        <w:bidi w:val="0"/>
        <w:rPr>
          <w:rFonts w:hint="default" w:ascii="Times New Roman" w:hAnsi="Times New Roman" w:cs="Times New Roman"/>
          <w:color w:val="auto"/>
        </w:rPr>
      </w:pPr>
      <w:r>
        <w:rPr>
          <w:rFonts w:hint="default" w:ascii="Times New Roman" w:hAnsi="Times New Roman" w:cs="Times New Roman"/>
          <w:color w:val="auto"/>
        </w:rPr>
        <w:t>5、建立了应急预案管理。对员工树立“安全第一、预防为主、防消结合”的思想，严格落实各项安全防护措施。每年对应急预案演练不少于两次，每次演练制定了演练方案，公司内部并进行了评审。</w:t>
      </w:r>
    </w:p>
    <w:p>
      <w:pPr>
        <w:pStyle w:val="4"/>
        <w:bidi w:val="0"/>
        <w:rPr>
          <w:rFonts w:hint="default" w:ascii="Times New Roman" w:hAnsi="Times New Roman" w:cs="Times New Roman"/>
          <w:color w:val="auto"/>
        </w:rPr>
      </w:pPr>
      <w:bookmarkStart w:id="66" w:name="_Toc31248"/>
      <w:bookmarkStart w:id="67" w:name="_Toc444522067"/>
      <w:bookmarkStart w:id="68" w:name="_Toc25283"/>
      <w:r>
        <w:rPr>
          <w:rFonts w:hint="default" w:ascii="Times New Roman" w:hAnsi="Times New Roman" w:cs="Times New Roman"/>
          <w:color w:val="auto"/>
        </w:rPr>
        <w:t>3.6 现有环境风险防控与应急措施</w:t>
      </w:r>
      <w:bookmarkEnd w:id="66"/>
      <w:bookmarkEnd w:id="67"/>
      <w:bookmarkEnd w:id="68"/>
    </w:p>
    <w:p>
      <w:pPr>
        <w:pStyle w:val="5"/>
        <w:bidi w:val="0"/>
        <w:rPr>
          <w:rFonts w:hint="default" w:ascii="Times New Roman" w:hAnsi="Times New Roman" w:eastAsia="黑体" w:cs="Times New Roman"/>
          <w:color w:val="auto"/>
          <w:lang w:val="en-US" w:eastAsia="zh-CN"/>
        </w:rPr>
      </w:pPr>
      <w:r>
        <w:rPr>
          <w:rFonts w:hint="default" w:ascii="Times New Roman" w:hAnsi="Times New Roman" w:cs="Times New Roman"/>
          <w:color w:val="auto"/>
        </w:rPr>
        <w:t>3.6.1现有环境风险防控</w:t>
      </w:r>
      <w:r>
        <w:rPr>
          <w:rFonts w:hint="default" w:ascii="Times New Roman" w:hAnsi="Times New Roman" w:cs="Times New Roman"/>
          <w:color w:val="auto"/>
          <w:lang w:val="en-US" w:eastAsia="zh-CN"/>
        </w:rPr>
        <w:t>措施</w:t>
      </w:r>
    </w:p>
    <w:p>
      <w:pPr>
        <w:bidi w:val="0"/>
        <w:rPr>
          <w:rFonts w:hint="default" w:ascii="Times New Roman" w:hAnsi="Times New Roman" w:cs="Times New Roman"/>
          <w:b w:val="0"/>
          <w:bCs w:val="0"/>
          <w:color w:val="auto"/>
        </w:rPr>
      </w:pPr>
      <w:r>
        <w:rPr>
          <w:rFonts w:hint="default" w:ascii="Times New Roman" w:hAnsi="Times New Roman" w:cs="Times New Roman"/>
          <w:b w:val="0"/>
          <w:bCs w:val="0"/>
          <w:color w:val="auto"/>
          <w:lang w:val="en-US" w:eastAsia="zh-CN"/>
        </w:rPr>
        <w:t>1、</w:t>
      </w:r>
      <w:r>
        <w:rPr>
          <w:rFonts w:hint="default" w:ascii="Times New Roman" w:hAnsi="Times New Roman" w:cs="Times New Roman"/>
          <w:b w:val="0"/>
          <w:bCs w:val="0"/>
          <w:color w:val="auto"/>
        </w:rPr>
        <w:t>现有大气环境风险防控措施</w:t>
      </w:r>
    </w:p>
    <w:p>
      <w:pPr>
        <w:bidi w:val="0"/>
        <w:rPr>
          <w:rFonts w:hint="default" w:ascii="Times New Roman" w:hAnsi="Times New Roman" w:cs="Times New Roman"/>
          <w:color w:val="auto"/>
        </w:rPr>
      </w:pPr>
      <w:r>
        <w:rPr>
          <w:rFonts w:hint="default" w:ascii="Times New Roman" w:hAnsi="Times New Roman" w:cs="Times New Roman"/>
          <w:color w:val="auto"/>
        </w:rPr>
        <w:t>企业现有的大气环境风险防控措施见表3.6-1。</w:t>
      </w:r>
    </w:p>
    <w:p>
      <w:pPr>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表3.6-1 企业大气环境风险防控措施评估情况</w:t>
      </w:r>
    </w:p>
    <w:tbl>
      <w:tblPr>
        <w:tblStyle w:val="29"/>
        <w:tblW w:w="907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9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7"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评估指标</w:t>
            </w:r>
          </w:p>
        </w:tc>
        <w:tc>
          <w:tcPr>
            <w:tcW w:w="4993"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评估情况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7" w:type="dxa"/>
            <w:tcBorders>
              <w:tl2br w:val="nil"/>
              <w:tr2bl w:val="nil"/>
            </w:tcBorders>
            <w:noWrap w:val="0"/>
            <w:vAlign w:val="center"/>
          </w:tcPr>
          <w:p>
            <w:pPr>
              <w:pStyle w:val="6"/>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毒性气体泄漏监控预警措施</w:t>
            </w:r>
          </w:p>
        </w:tc>
        <w:tc>
          <w:tcPr>
            <w:tcW w:w="4993" w:type="dxa"/>
            <w:tcBorders>
              <w:tl2br w:val="nil"/>
              <w:tr2bl w:val="nil"/>
            </w:tcBorders>
            <w:noWrap w:val="0"/>
            <w:vAlign w:val="center"/>
          </w:tcPr>
          <w:p>
            <w:pPr>
              <w:pStyle w:val="6"/>
              <w:bidi w:val="0"/>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安装甲醛</w:t>
            </w:r>
            <w:r>
              <w:rPr>
                <w:rFonts w:hint="default" w:ascii="Times New Roman" w:hAnsi="Times New Roman" w:cs="Times New Roman"/>
                <w:color w:val="auto"/>
                <w:highlight w:val="none"/>
              </w:rPr>
              <w:t>气体泄漏监控预警</w:t>
            </w:r>
            <w:r>
              <w:rPr>
                <w:rFonts w:hint="default" w:ascii="Times New Roman" w:hAnsi="Times New Roman" w:cs="Times New Roman"/>
                <w:color w:val="auto"/>
                <w:highlight w:val="none"/>
                <w:lang w:val="en-US" w:eastAsia="zh-CN"/>
              </w:rPr>
              <w:t>装置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7"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符合防护距离情况</w:t>
            </w:r>
          </w:p>
        </w:tc>
        <w:tc>
          <w:tcPr>
            <w:tcW w:w="4993"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不涉及防护距离要求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077"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近3年内突发大气环境事件发生情况</w:t>
            </w:r>
          </w:p>
        </w:tc>
        <w:tc>
          <w:tcPr>
            <w:tcW w:w="4993"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未发生突发大气环境事件</w:t>
            </w:r>
          </w:p>
        </w:tc>
      </w:tr>
    </w:tbl>
    <w:p>
      <w:pPr>
        <w:bidi w:val="0"/>
        <w:rPr>
          <w:rFonts w:hint="default" w:ascii="Times New Roman" w:hAnsi="Times New Roman" w:cs="Times New Roman"/>
          <w:b w:val="0"/>
          <w:bCs w:val="0"/>
          <w:color w:val="auto"/>
        </w:rPr>
      </w:pPr>
      <w:bookmarkStart w:id="69" w:name="_Toc311902760"/>
      <w:r>
        <w:rPr>
          <w:rFonts w:hint="default" w:ascii="Times New Roman" w:hAnsi="Times New Roman" w:cs="Times New Roman"/>
          <w:b w:val="0"/>
          <w:bCs w:val="0"/>
          <w:color w:val="auto"/>
          <w:lang w:val="en-US" w:eastAsia="zh-CN"/>
        </w:rPr>
        <w:t>2、</w:t>
      </w:r>
      <w:r>
        <w:rPr>
          <w:rFonts w:hint="default" w:ascii="Times New Roman" w:hAnsi="Times New Roman" w:cs="Times New Roman"/>
          <w:b w:val="0"/>
          <w:bCs w:val="0"/>
          <w:color w:val="auto"/>
        </w:rPr>
        <w:t>现有水环境风险防控措施</w:t>
      </w:r>
    </w:p>
    <w:p>
      <w:pPr>
        <w:bidi w:val="0"/>
        <w:rPr>
          <w:rFonts w:hint="default" w:ascii="Times New Roman" w:hAnsi="Times New Roman" w:cs="Times New Roman"/>
          <w:color w:val="auto"/>
        </w:rPr>
      </w:pPr>
      <w:r>
        <w:rPr>
          <w:rFonts w:hint="default" w:ascii="Times New Roman" w:hAnsi="Times New Roman" w:cs="Times New Roman"/>
          <w:color w:val="auto"/>
        </w:rPr>
        <w:t>企业现有的水环境风险防控措施见表3.6-2。</w:t>
      </w:r>
    </w:p>
    <w:p>
      <w:pPr>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表3.6-2 企业水环境风险防控措施评估情况</w:t>
      </w:r>
    </w:p>
    <w:tbl>
      <w:tblPr>
        <w:tblStyle w:val="29"/>
        <w:tblW w:w="907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99"/>
        <w:gridCol w:w="58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99"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评估指标</w:t>
            </w:r>
          </w:p>
        </w:tc>
        <w:tc>
          <w:tcPr>
            <w:tcW w:w="5871"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评估情况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99"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截流措施</w:t>
            </w:r>
          </w:p>
        </w:tc>
        <w:tc>
          <w:tcPr>
            <w:tcW w:w="5871" w:type="dxa"/>
            <w:tcBorders>
              <w:tl2br w:val="nil"/>
              <w:tr2bl w:val="nil"/>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污水处理站排放口设置截流阀；生产区、装卸区地面硬化，事故废水顺着厂区坡度流入厂区内雨水管网，通过阀门、泵控制事故废水沿雨水管网流至事故水池；罐区地面硬化，储罐区周边设置围堰和收集沟、切换装置，可实现事故废水排往应急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99" w:type="dxa"/>
            <w:tcBorders>
              <w:tl2br w:val="nil"/>
              <w:tr2bl w:val="nil"/>
            </w:tcBorders>
            <w:noWrap w:val="0"/>
            <w:vAlign w:val="center"/>
          </w:tcPr>
          <w:p>
            <w:pPr>
              <w:pStyle w:val="6"/>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清净废水系统风险防控措施</w:t>
            </w:r>
          </w:p>
        </w:tc>
        <w:tc>
          <w:tcPr>
            <w:tcW w:w="5871" w:type="dxa"/>
            <w:tcBorders>
              <w:tl2br w:val="nil"/>
              <w:tr2bl w:val="nil"/>
            </w:tcBorders>
            <w:noWrap w:val="0"/>
            <w:vAlign w:val="center"/>
          </w:tcPr>
          <w:p>
            <w:pPr>
              <w:pStyle w:val="6"/>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不涉及清净废水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99"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雨水排水系统风险防控措施</w:t>
            </w:r>
          </w:p>
        </w:tc>
        <w:tc>
          <w:tcPr>
            <w:tcW w:w="5871" w:type="dxa"/>
            <w:tcBorders>
              <w:tl2br w:val="nil"/>
              <w:tr2bl w:val="nil"/>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雨污分流；</w:t>
            </w:r>
            <w:r>
              <w:rPr>
                <w:rFonts w:hint="default" w:ascii="Times New Roman" w:hAnsi="Times New Roman" w:cs="Times New Roman"/>
                <w:color w:val="auto"/>
                <w:lang w:eastAsia="zh-CN"/>
              </w:rPr>
              <w:t>初期雨水收集后经公司污水处理站处理后进入园区污水处理厂处理；</w:t>
            </w:r>
            <w:r>
              <w:rPr>
                <w:rFonts w:hint="default" w:ascii="Times New Roman" w:hAnsi="Times New Roman" w:cs="Times New Roman"/>
                <w:color w:val="auto"/>
                <w:lang w:val="en-US" w:eastAsia="zh-CN"/>
              </w:rPr>
              <w:t>雨水管网设置截流阀和切换阀，在事故废水进入雨水管道后关闭截流阀，开启切换阀，将此部分废水经雨水管网导入事故水池。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99"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生产废水处理系统风险防控措施</w:t>
            </w:r>
          </w:p>
        </w:tc>
        <w:tc>
          <w:tcPr>
            <w:tcW w:w="5871" w:type="dxa"/>
            <w:tcBorders>
              <w:tl2br w:val="nil"/>
              <w:tr2bl w:val="nil"/>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污水处理站排放口设置截流阀</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99"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废水排放去向</w:t>
            </w:r>
          </w:p>
        </w:tc>
        <w:tc>
          <w:tcPr>
            <w:tcW w:w="5871" w:type="dxa"/>
            <w:tcBorders>
              <w:tl2br w:val="nil"/>
              <w:tr2bl w:val="nil"/>
            </w:tcBorders>
            <w:noWrap w:val="0"/>
            <w:vAlign w:val="center"/>
          </w:tcPr>
          <w:p>
            <w:pPr>
              <w:pStyle w:val="6"/>
              <w:bidi w:val="0"/>
              <w:rPr>
                <w:rFonts w:hint="default" w:ascii="Times New Roman" w:hAnsi="Times New Roman" w:eastAsia="宋体" w:cs="Times New Roman"/>
                <w:color w:val="auto"/>
                <w:lang w:eastAsia="zh-CN"/>
              </w:rPr>
            </w:pPr>
            <w:r>
              <w:rPr>
                <w:rFonts w:hint="default" w:ascii="Times New Roman" w:hAnsi="Times New Roman" w:cs="Times New Roman"/>
                <w:color w:val="auto"/>
                <w:sz w:val="21"/>
                <w:szCs w:val="21"/>
                <w:lang w:eastAsia="zh-CN"/>
              </w:rPr>
              <w:t>生活废水、生产废水经厂区污水处理站处理后排入园区污水处理厂处理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99"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厂内危险废物环境管理</w:t>
            </w:r>
          </w:p>
        </w:tc>
        <w:tc>
          <w:tcPr>
            <w:tcW w:w="5871" w:type="dxa"/>
            <w:tcBorders>
              <w:tl2br w:val="nil"/>
              <w:tr2bl w:val="nil"/>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危险废物包括甲醇过滤残渣、甲醇蒸发残液目前均未产生。待产生后，全部暂存于危废暂存库，危废库具有完善的防渗、防腐蚀、防溢流措施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99"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近3年突发水环境事件发生情况</w:t>
            </w:r>
          </w:p>
        </w:tc>
        <w:tc>
          <w:tcPr>
            <w:tcW w:w="5871" w:type="dxa"/>
            <w:tcBorders>
              <w:tl2br w:val="nil"/>
              <w:tr2bl w:val="nil"/>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未发生突发水环境事件</w:t>
            </w:r>
          </w:p>
        </w:tc>
      </w:tr>
    </w:tbl>
    <w:p>
      <w:pPr>
        <w:pStyle w:val="5"/>
        <w:bidi w:val="0"/>
        <w:rPr>
          <w:rFonts w:hint="default" w:ascii="Times New Roman" w:hAnsi="Times New Roman" w:cs="Times New Roman"/>
          <w:color w:val="FF0000"/>
          <w:highlight w:val="none"/>
        </w:rPr>
      </w:pPr>
      <w:r>
        <w:rPr>
          <w:rFonts w:hint="default" w:ascii="Times New Roman" w:hAnsi="Times New Roman" w:cs="Times New Roman"/>
          <w:color w:val="auto"/>
          <w:highlight w:val="none"/>
        </w:rPr>
        <w:t>3.6.2现有环境风险应急措施</w:t>
      </w:r>
    </w:p>
    <w:bookmarkEnd w:id="69"/>
    <w:p>
      <w:pPr>
        <w:bidi w:val="0"/>
        <w:rPr>
          <w:rFonts w:hint="default" w:ascii="Times New Roman" w:hAnsi="Times New Roman" w:cs="Times New Roman"/>
          <w:color w:val="auto"/>
          <w:lang w:val="en-US" w:eastAsia="zh-CN"/>
        </w:rPr>
      </w:pPr>
      <w:bookmarkStart w:id="70" w:name="_Toc311902762"/>
      <w:r>
        <w:rPr>
          <w:rFonts w:hint="default" w:ascii="Times New Roman" w:hAnsi="Times New Roman" w:cs="Times New Roman"/>
          <w:color w:val="auto"/>
          <w:lang w:val="en-US" w:eastAsia="zh-CN"/>
        </w:rPr>
        <w:t>1</w:t>
      </w:r>
      <w:r>
        <w:rPr>
          <w:rFonts w:hint="default" w:ascii="Times New Roman" w:hAnsi="Times New Roman" w:cs="Times New Roman"/>
          <w:color w:val="auto"/>
        </w:rPr>
        <w:t>、</w:t>
      </w:r>
      <w:r>
        <w:rPr>
          <w:rFonts w:hint="default" w:ascii="Times New Roman" w:hAnsi="Times New Roman" w:cs="Times New Roman"/>
          <w:color w:val="auto"/>
          <w:lang w:val="en-US" w:eastAsia="zh-CN"/>
        </w:rPr>
        <w:t>甲醇、甲醛</w:t>
      </w:r>
      <w:r>
        <w:rPr>
          <w:rFonts w:hint="default" w:ascii="Times New Roman" w:hAnsi="Times New Roman" w:cs="Times New Roman"/>
          <w:color w:val="auto"/>
        </w:rPr>
        <w:t>泄漏应急处理</w:t>
      </w:r>
      <w:r>
        <w:rPr>
          <w:rFonts w:hint="default" w:ascii="Times New Roman" w:hAnsi="Times New Roman" w:cs="Times New Roman"/>
          <w:color w:val="auto"/>
          <w:lang w:val="en-US" w:eastAsia="zh-CN"/>
        </w:rPr>
        <w:t>措施</w:t>
      </w:r>
    </w:p>
    <w:p>
      <w:pPr>
        <w:bidi w:val="0"/>
        <w:rPr>
          <w:rFonts w:hint="default" w:ascii="Times New Roman" w:hAnsi="Times New Roman" w:cs="Times New Roman"/>
          <w:lang w:val="en-US" w:eastAsia="zh-CN"/>
        </w:rPr>
      </w:pPr>
      <w:r>
        <w:rPr>
          <w:rFonts w:hint="default" w:ascii="Times New Roman" w:hAnsi="Times New Roman" w:cs="Times New Roman"/>
          <w:color w:val="auto"/>
          <w:lang w:val="en-US" w:eastAsia="zh-CN"/>
        </w:rPr>
        <w:t>甲醇、</w:t>
      </w:r>
      <w:r>
        <w:rPr>
          <w:rFonts w:hint="default" w:ascii="Times New Roman" w:hAnsi="Times New Roman" w:cs="Times New Roman"/>
          <w:lang w:val="en-US" w:eastAsia="zh-CN"/>
        </w:rPr>
        <w:t>甲醛均为罐装存储，当装卸区作业或罐区管道、阀门连接处发生泄漏时应急处理措施如下：</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现场人员应立即停止作业，向车间负责人汇报。</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车间负责人接到报告后立即汇报应急领导小组，并安排现场人员</w:t>
      </w:r>
      <w:r>
        <w:rPr>
          <w:rFonts w:hint="default" w:ascii="Times New Roman" w:hAnsi="Times New Roman" w:cs="Times New Roman"/>
          <w:color w:val="auto"/>
          <w:lang w:val="en-US" w:eastAsia="zh-CN"/>
        </w:rPr>
        <w:t>穿戴防护设施打开事故废水切换阀，</w:t>
      </w:r>
      <w:r>
        <w:rPr>
          <w:rFonts w:hint="default" w:ascii="Times New Roman" w:hAnsi="Times New Roman" w:cs="Times New Roman"/>
          <w:color w:val="auto"/>
        </w:rPr>
        <w:t>将泄漏物质转移</w:t>
      </w:r>
      <w:r>
        <w:rPr>
          <w:rFonts w:hint="default" w:ascii="Times New Roman" w:hAnsi="Times New Roman" w:cs="Times New Roman"/>
          <w:color w:val="auto"/>
          <w:lang w:val="en-US" w:eastAsia="zh-CN"/>
        </w:rPr>
        <w:t>至事故水池中，</w:t>
      </w:r>
      <w:r>
        <w:rPr>
          <w:rFonts w:hint="default" w:ascii="Times New Roman" w:hAnsi="Times New Roman" w:cs="Times New Roman"/>
          <w:color w:val="auto"/>
        </w:rPr>
        <w:t>防止事件扩大化。</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应急领导小组接到报警后，迅速通知有关部门、车间，下达启动应急预案的指令，同时发出警报，通知应急救援人员赶往事件现场。</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4</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根据液体扩散的影响区域划定警戒区。无关人员从侧风、上风向撤离至安全区。</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5</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使用</w:t>
      </w:r>
      <w:r>
        <w:rPr>
          <w:rFonts w:hint="default" w:ascii="Times New Roman" w:hAnsi="Times New Roman" w:cs="Times New Roman"/>
          <w:color w:val="auto"/>
          <w:lang w:val="en-US" w:eastAsia="zh-CN"/>
        </w:rPr>
        <w:t>沙土</w:t>
      </w:r>
      <w:r>
        <w:rPr>
          <w:rFonts w:hint="default" w:ascii="Times New Roman" w:hAnsi="Times New Roman" w:cs="Times New Roman"/>
          <w:color w:val="auto"/>
        </w:rPr>
        <w:t>对</w:t>
      </w:r>
      <w:r>
        <w:rPr>
          <w:rFonts w:hint="default" w:ascii="Times New Roman" w:hAnsi="Times New Roman" w:cs="Times New Roman"/>
          <w:color w:val="auto"/>
          <w:lang w:val="en-US" w:eastAsia="zh-CN"/>
        </w:rPr>
        <w:t>装卸区</w:t>
      </w:r>
      <w:r>
        <w:rPr>
          <w:rFonts w:hint="default" w:ascii="Times New Roman" w:hAnsi="Times New Roman" w:cs="Times New Roman"/>
          <w:color w:val="auto"/>
        </w:rPr>
        <w:t>泄漏物进行围堵，尤其注意勿使泄漏物流出</w:t>
      </w:r>
      <w:r>
        <w:rPr>
          <w:rFonts w:hint="default" w:ascii="Times New Roman" w:hAnsi="Times New Roman" w:cs="Times New Roman"/>
          <w:color w:val="auto"/>
          <w:lang w:val="en-US" w:eastAsia="zh-CN"/>
        </w:rPr>
        <w:t>厂界</w:t>
      </w:r>
      <w:r>
        <w:rPr>
          <w:rFonts w:hint="default" w:ascii="Times New Roman" w:hAnsi="Times New Roman" w:cs="Times New Roman"/>
          <w:color w:val="auto"/>
        </w:rPr>
        <w:t>。</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6</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回收后的泄漏物</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转移至污水处理站进行处理</w:t>
      </w:r>
      <w:r>
        <w:rPr>
          <w:rFonts w:hint="default" w:ascii="Times New Roman" w:hAnsi="Times New Roman" w:cs="Times New Roman"/>
          <w:color w:val="auto"/>
        </w:rPr>
        <w:t>。</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7</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确认泄漏源完全控制，检查是否存在其他安全隐患。</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8</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吸收泄漏物的消防沙</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石灰</w:t>
      </w:r>
      <w:r>
        <w:rPr>
          <w:rFonts w:hint="default" w:ascii="Times New Roman" w:hAnsi="Times New Roman" w:cs="Times New Roman"/>
          <w:color w:val="auto"/>
        </w:rPr>
        <w:t>不得随意丢弃、处置，需按照危废管理的相关规定进行处理。</w:t>
      </w:r>
    </w:p>
    <w:p>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default" w:ascii="Times New Roman" w:hAnsi="Times New Roman" w:cs="Times New Roman"/>
          <w:color w:val="auto"/>
        </w:rPr>
        <w:t>火灾事件应急处理</w:t>
      </w:r>
      <w:bookmarkEnd w:id="70"/>
      <w:r>
        <w:rPr>
          <w:rFonts w:hint="default" w:ascii="Times New Roman" w:hAnsi="Times New Roman" w:cs="Times New Roman"/>
          <w:color w:val="auto"/>
          <w:lang w:val="en-US" w:eastAsia="zh-CN"/>
        </w:rPr>
        <w:t>措施</w:t>
      </w:r>
    </w:p>
    <w:p>
      <w:pPr>
        <w:bidi w:val="0"/>
        <w:rPr>
          <w:rFonts w:hint="default" w:ascii="Times New Roman" w:hAnsi="Times New Roman" w:cs="Times New Roman"/>
          <w:color w:val="auto"/>
        </w:rPr>
      </w:pPr>
      <w:r>
        <w:rPr>
          <w:rFonts w:hint="default" w:ascii="Times New Roman" w:hAnsi="Times New Roman" w:cs="Times New Roman"/>
          <w:color w:val="auto"/>
        </w:rPr>
        <w:t>先控制，后消灭。根据火灾的特点，采取统一指挥、以快治快；堵截火势、防止蔓延；重点突破、排除险情；分割包围、速战速决的灭火战术。</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火灾事件发生时，现场人员应第一时间向车间主任报告</w:t>
      </w:r>
      <w:r>
        <w:rPr>
          <w:rFonts w:hint="default" w:ascii="Times New Roman" w:hAnsi="Times New Roman" w:cs="Times New Roman"/>
          <w:color w:val="auto"/>
          <w:lang w:eastAsia="zh-CN"/>
        </w:rPr>
        <w:t>(</w:t>
      </w:r>
      <w:r>
        <w:rPr>
          <w:rFonts w:hint="default" w:ascii="Times New Roman" w:hAnsi="Times New Roman" w:cs="Times New Roman"/>
          <w:color w:val="auto"/>
        </w:rPr>
        <w:t>如火势大应立即拨打119报警</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车间主任应立即通知应急领导小组，同时安排就近取用消防器材进行灭火。</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应急领导小组在接到电话后应第一时间赶往事件现场，启动应急救援预案，调集人员灭火。在火灾现场判断火灾大小，决定是否向消防大队报警。</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4</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现场抢险组应占领上风或侧风阵地，进行火情侦查、火灾扑救，疏散警戒组安排无关人员从上风向或侧风向尽快撤离。</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5</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应迅速查明燃烧范围、燃烧物品及其周围物品的品名和主要危险特性、火势蔓延的主要途径，燃烧产物是否有毒。查看火场周围是否存在易燃易爆品，如存在应尽快转移。</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6</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火势较大时，应先堵截火势蔓延，控制燃烧范围，然后逐步扑灭火势。</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7</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消防灭火时应同时确保厂区总排放口关闭，在厂区总排放口采用消防沙袋进行堵截，避免消防废水溢出厂外。同时，委托有资质的单位对消防废水进行处置，对环境影响较小。</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8</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当事件扩大需紧急撤退的情况，应按照统一的撤退信号和撤退方法及时撤退。(撤退信号应格外醒目，能使现场所有人员都看到或听到，并应经常演练)。</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9</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火灾扑灭后，仍要派人监护现场、消灭余火。保护现场并接受事件调查。迅速将有关情况上报环境主管部门。</w:t>
      </w:r>
    </w:p>
    <w:p>
      <w:pPr>
        <w:bidi w:val="0"/>
        <w:rPr>
          <w:rFonts w:hint="default" w:ascii="Times New Roman" w:hAnsi="Times New Roman" w:cs="Times New Roman"/>
          <w:color w:val="auto"/>
        </w:rPr>
      </w:pPr>
      <w:r>
        <w:rPr>
          <w:rFonts w:hint="default" w:ascii="Times New Roman" w:hAnsi="Times New Roman" w:cs="Times New Roman"/>
          <w:color w:val="auto"/>
          <w:lang w:val="en-US" w:eastAsia="zh-CN"/>
        </w:rPr>
        <w:t>3</w:t>
      </w:r>
      <w:r>
        <w:rPr>
          <w:rFonts w:hint="default" w:ascii="Times New Roman" w:hAnsi="Times New Roman" w:cs="Times New Roman"/>
          <w:color w:val="auto"/>
        </w:rPr>
        <w:t>、紧急处理措施及隔离疏散</w:t>
      </w:r>
    </w:p>
    <w:p>
      <w:pPr>
        <w:bidi w:val="0"/>
        <w:rPr>
          <w:rFonts w:hint="default" w:ascii="Times New Roman" w:hAnsi="Times New Roman" w:cs="Times New Roman"/>
          <w:color w:val="auto"/>
        </w:rPr>
      </w:pPr>
      <w:r>
        <w:rPr>
          <w:rFonts w:hint="default" w:ascii="Times New Roman" w:hAnsi="Times New Roman" w:cs="Times New Roman"/>
          <w:color w:val="auto"/>
        </w:rPr>
        <w:t>当发生火灾时，要保持镇定。视火情大小：火情小时，应急办公室要立即组织应急救援组人员对火势进行控制，尽快灭火。火势大到无法扑灭时，全体人员应迅速撤离到安全区域并保证自身安全，并由现场指挥清点人数。</w:t>
      </w:r>
    </w:p>
    <w:p>
      <w:pPr>
        <w:pStyle w:val="5"/>
        <w:bidi w:val="0"/>
        <w:rPr>
          <w:rFonts w:hint="default" w:ascii="Times New Roman" w:hAnsi="Times New Roman" w:cs="Times New Roman"/>
          <w:color w:val="auto"/>
        </w:rPr>
      </w:pPr>
      <w:r>
        <w:rPr>
          <w:rFonts w:hint="default" w:ascii="Times New Roman" w:hAnsi="Times New Roman" w:cs="Times New Roman"/>
          <w:color w:val="auto"/>
        </w:rPr>
        <w:t>3.6.3现有环境风险管理制度</w:t>
      </w:r>
    </w:p>
    <w:p>
      <w:pPr>
        <w:bidi w:val="0"/>
        <w:rPr>
          <w:rFonts w:hint="default" w:ascii="Times New Roman" w:hAnsi="Times New Roman" w:cs="Times New Roman"/>
          <w:color w:val="auto"/>
        </w:rPr>
      </w:pPr>
      <w:r>
        <w:rPr>
          <w:rFonts w:hint="default" w:ascii="Times New Roman" w:hAnsi="Times New Roman" w:cs="Times New Roman"/>
          <w:color w:val="auto"/>
        </w:rPr>
        <w:t>企业已建立制定相关环境风险防控和应急措施制度，已落实定期巡检和维护责任制度。环境风险防控重点岗位的责任人和责任机构明确。</w:t>
      </w:r>
    </w:p>
    <w:p>
      <w:pPr>
        <w:bidi w:val="0"/>
        <w:rPr>
          <w:rFonts w:hint="default" w:ascii="Times New Roman" w:hAnsi="Times New Roman" w:cs="Times New Roman"/>
          <w:color w:val="auto"/>
        </w:rPr>
      </w:pPr>
      <w:r>
        <w:rPr>
          <w:rFonts w:hint="default" w:ascii="Times New Roman" w:hAnsi="Times New Roman" w:cs="Times New Roman"/>
          <w:color w:val="auto"/>
        </w:rPr>
        <w:t>企业应急预案体系中，各应急小组协助指挥部做好事件报警、通报及处置工作；向周边企业、村落提供本公司有关危险物质特性、应急措施、救援知识等；根据现场情况判断是否需要人员紧急疏散和抢救物资，如需紧急疏散须及时规定疏散路线和疏散路口；并及时协助企业内员工和周围人员及居民的紧急疏散工作。</w:t>
      </w:r>
    </w:p>
    <w:p>
      <w:pPr>
        <w:bidi w:val="0"/>
        <w:rPr>
          <w:rFonts w:hint="default" w:ascii="Times New Roman" w:hAnsi="Times New Roman" w:cs="Times New Roman"/>
          <w:color w:val="auto"/>
        </w:rPr>
      </w:pPr>
      <w:r>
        <w:rPr>
          <w:rFonts w:hint="default" w:ascii="Times New Roman" w:hAnsi="Times New Roman" w:cs="Times New Roman"/>
          <w:color w:val="auto"/>
        </w:rPr>
        <w:t>定期对职工开展环境风险和环境应急管理宣传和培训。在企业内张贴应急救援机构和人员、风险物质危险特性、急救措施、风险事故内部疏散路线等标识牌。</w:t>
      </w:r>
    </w:p>
    <w:p>
      <w:pPr>
        <w:pStyle w:val="4"/>
        <w:bidi w:val="0"/>
        <w:rPr>
          <w:rFonts w:hint="default" w:ascii="Times New Roman" w:hAnsi="Times New Roman" w:cs="Times New Roman"/>
          <w:color w:val="auto"/>
        </w:rPr>
      </w:pPr>
      <w:bookmarkStart w:id="71" w:name="_Toc8162"/>
      <w:bookmarkStart w:id="72" w:name="_Toc444522068"/>
      <w:bookmarkStart w:id="73" w:name="_Toc27042"/>
      <w:bookmarkStart w:id="74" w:name="_Toc404954424"/>
      <w:r>
        <w:rPr>
          <w:rFonts w:hint="default" w:ascii="Times New Roman" w:hAnsi="Times New Roman" w:cs="Times New Roman"/>
          <w:color w:val="auto"/>
        </w:rPr>
        <w:t xml:space="preserve">3.7 </w:t>
      </w:r>
      <w:r>
        <w:rPr>
          <w:rFonts w:hint="eastAsia" w:ascii="Times New Roman" w:hAnsi="Times New Roman" w:cs="Times New Roman"/>
          <w:color w:val="auto"/>
          <w:lang w:val="en-US" w:eastAsia="zh-CN"/>
        </w:rPr>
        <w:t>现有</w:t>
      </w:r>
      <w:r>
        <w:rPr>
          <w:rFonts w:hint="default" w:ascii="Times New Roman" w:hAnsi="Times New Roman" w:cs="Times New Roman"/>
          <w:color w:val="auto"/>
        </w:rPr>
        <w:t>应急物资与装备、救援队伍情况</w:t>
      </w:r>
      <w:bookmarkEnd w:id="71"/>
      <w:bookmarkEnd w:id="72"/>
      <w:bookmarkEnd w:id="73"/>
      <w:bookmarkEnd w:id="74"/>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szCs w:val="24"/>
        </w:rPr>
      </w:pPr>
      <w:r>
        <w:rPr>
          <w:szCs w:val="24"/>
        </w:rPr>
        <w:t>公司已编制了《突发环境事件应急预案》。预案包括总则、单位概况、应急保障、应急响应、预案管理等。</w:t>
      </w:r>
    </w:p>
    <w:p>
      <w:pPr>
        <w:pStyle w:val="5"/>
        <w:bidi w:val="0"/>
        <w:rPr>
          <w:rFonts w:hint="eastAsia" w:ascii="Times New Roman" w:hAnsi="Times New Roman" w:eastAsia="黑体" w:cs="Times New Roman"/>
          <w:color w:val="auto"/>
          <w:lang w:val="en-US" w:eastAsia="zh-CN"/>
        </w:rPr>
      </w:pPr>
      <w:r>
        <w:rPr>
          <w:rFonts w:hint="default" w:ascii="Times New Roman" w:hAnsi="Times New Roman" w:cs="Times New Roman"/>
          <w:color w:val="auto"/>
        </w:rPr>
        <w:t>3.7.1</w:t>
      </w:r>
      <w:r>
        <w:rPr>
          <w:rFonts w:hint="eastAsia" w:ascii="Times New Roman" w:hAnsi="Times New Roman" w:cs="Times New Roman"/>
          <w:color w:val="auto"/>
          <w:lang w:val="en-US" w:eastAsia="zh-CN"/>
        </w:rPr>
        <w:t xml:space="preserve"> </w:t>
      </w:r>
      <w:r>
        <w:rPr>
          <w:rFonts w:hint="eastAsia"/>
        </w:rPr>
        <w:t>现有应急指挥、救援队伍情况</w:t>
      </w:r>
    </w:p>
    <w:p>
      <w:pPr>
        <w:bidi w:val="0"/>
        <w:rPr>
          <w:rFonts w:hint="eastAsia" w:ascii="Times New Roman" w:hAnsi="Times New Roman" w:eastAsia="宋体" w:cs="Times New Roman"/>
          <w:color w:val="auto"/>
          <w:lang w:eastAsia="zh-CN"/>
        </w:rPr>
      </w:pPr>
      <w:r>
        <w:rPr>
          <w:rFonts w:hint="default" w:ascii="Times New Roman" w:hAnsi="Times New Roman" w:eastAsia="宋体" w:cs="Times New Roman"/>
          <w:color w:val="auto"/>
        </w:rPr>
        <w:t>为能有效预防突发环境事故发生，并能做到在事故发生后能迅速有效地实现控制和处理，最大程度地减少事故带来的损失，</w:t>
      </w:r>
      <w:r>
        <w:rPr>
          <w:rFonts w:hint="eastAsia" w:ascii="Times New Roman" w:hAnsi="Times New Roman" w:eastAsia="宋体" w:cs="Times New Roman"/>
          <w:color w:val="auto"/>
          <w:lang w:eastAsia="zh-CN"/>
        </w:rPr>
        <w:t>公司</w:t>
      </w:r>
      <w:r>
        <w:rPr>
          <w:rFonts w:hint="default" w:ascii="Times New Roman" w:hAnsi="Times New Roman" w:eastAsia="宋体" w:cs="Times New Roman"/>
          <w:color w:val="auto"/>
        </w:rPr>
        <w:t>设立环境事件应急指挥部，专门负责企业应急救援工作的组织领导和指挥工作，应急救援指挥部下设</w:t>
      </w:r>
      <w:r>
        <w:rPr>
          <w:rFonts w:hint="eastAsia" w:eastAsia="宋体" w:cs="Times New Roman"/>
          <w:color w:val="auto"/>
          <w:lang w:val="en-US" w:eastAsia="zh-CN"/>
        </w:rPr>
        <w:t>7</w:t>
      </w:r>
      <w:r>
        <w:rPr>
          <w:rFonts w:hint="default" w:ascii="Times New Roman" w:hAnsi="Times New Roman" w:eastAsia="宋体" w:cs="Times New Roman"/>
          <w:color w:val="auto"/>
        </w:rPr>
        <w:t>个救援小组，分别是</w:t>
      </w:r>
      <w:r>
        <w:rPr>
          <w:rFonts w:hint="default" w:ascii="Times New Roman" w:hAnsi="Times New Roman" w:eastAsia="宋体" w:cs="Times New Roman"/>
          <w:color w:val="auto"/>
          <w:lang w:val="en-US" w:eastAsia="zh-CN"/>
        </w:rPr>
        <w:t>环境应急处置组</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环境应急监测组</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警戒疏散组</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医疗救护组</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现场处置组</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应急保障组</w:t>
      </w:r>
      <w:r>
        <w:rPr>
          <w:rFonts w:hint="eastAsia" w:ascii="Times New Roman" w:hAnsi="Times New Roman" w:eastAsia="宋体" w:cs="Times New Roman"/>
          <w:color w:val="auto"/>
          <w:lang w:eastAsia="zh-CN"/>
        </w:rPr>
        <w:t>及</w:t>
      </w:r>
      <w:r>
        <w:rPr>
          <w:rFonts w:hint="default" w:ascii="Times New Roman" w:hAnsi="Times New Roman" w:eastAsia="宋体" w:cs="Times New Roman"/>
          <w:color w:val="auto"/>
          <w:lang w:val="en-US" w:eastAsia="zh-CN"/>
        </w:rPr>
        <w:t>通讯联络组</w:t>
      </w:r>
      <w:r>
        <w:rPr>
          <w:rFonts w:hint="default" w:ascii="Times New Roman" w:hAnsi="Times New Roman" w:eastAsia="宋体" w:cs="Times New Roman"/>
          <w:color w:val="auto"/>
        </w:rPr>
        <w:t>。</w:t>
      </w:r>
      <w:r>
        <w:rPr>
          <w:rFonts w:hint="eastAsia" w:ascii="Times New Roman" w:hAnsi="Times New Roman" w:eastAsia="宋体" w:cs="Times New Roman"/>
          <w:color w:val="auto"/>
          <w:lang w:eastAsia="zh-CN"/>
        </w:rPr>
        <w:t>公司</w:t>
      </w:r>
      <w:r>
        <w:rPr>
          <w:rFonts w:hint="eastAsia" w:ascii="Times New Roman" w:hAnsi="Times New Roman" w:eastAsia="宋体" w:cs="Times New Roman"/>
          <w:color w:val="auto"/>
          <w:lang w:val="en-US" w:eastAsia="zh-CN"/>
        </w:rPr>
        <w:t>应急救援组织体系成员信息</w:t>
      </w:r>
      <w:r>
        <w:rPr>
          <w:rFonts w:hint="eastAsia" w:ascii="Times New Roman" w:hAnsi="Times New Roman" w:eastAsia="宋体" w:cs="Times New Roman"/>
          <w:color w:val="auto"/>
        </w:rPr>
        <w:t>见表</w:t>
      </w:r>
      <w:r>
        <w:rPr>
          <w:rFonts w:hint="default" w:ascii="Times New Roman" w:hAnsi="Times New Roman" w:eastAsia="宋体" w:cs="Times New Roman"/>
          <w:color w:val="auto"/>
        </w:rPr>
        <w:t>3.</w:t>
      </w:r>
      <w:r>
        <w:rPr>
          <w:rFonts w:hint="default" w:ascii="Times New Roman" w:hAnsi="Times New Roman" w:eastAsia="宋体" w:cs="Times New Roman"/>
          <w:color w:val="auto"/>
          <w:lang w:val="en-US" w:eastAsia="zh-CN"/>
        </w:rPr>
        <w:t>7</w:t>
      </w:r>
      <w:r>
        <w:rPr>
          <w:rFonts w:hint="default" w:ascii="Times New Roman" w:hAnsi="Times New Roman" w:eastAsia="宋体" w:cs="Times New Roman"/>
          <w:color w:val="auto"/>
        </w:rPr>
        <w:t>-1</w:t>
      </w:r>
      <w:r>
        <w:rPr>
          <w:rFonts w:hint="eastAsia" w:eastAsia="宋体" w:cs="Times New Roman"/>
          <w:color w:val="auto"/>
          <w:lang w:eastAsia="zh-CN"/>
        </w:rPr>
        <w:t>。</w:t>
      </w:r>
    </w:p>
    <w:p>
      <w:pPr>
        <w:pStyle w:val="36"/>
        <w:bidi w:val="0"/>
        <w:rPr>
          <w:rFonts w:hint="default" w:ascii="Times New Roman" w:hAnsi="Times New Roman" w:cs="Times New Roman"/>
          <w:lang w:val="en-US" w:eastAsia="zh-CN"/>
        </w:rPr>
      </w:pPr>
      <w:r>
        <w:rPr>
          <w:rFonts w:hint="default" w:ascii="Times New Roman" w:hAnsi="Times New Roman" w:cs="Times New Roman"/>
          <w:lang w:val="en-US" w:eastAsia="zh-CN"/>
        </w:rPr>
        <w:t>表3.7-</w:t>
      </w:r>
      <w:r>
        <w:rPr>
          <w:rFonts w:hint="eastAsia" w:cs="Times New Roman"/>
          <w:lang w:val="en-US" w:eastAsia="zh-CN"/>
        </w:rPr>
        <w:t>1</w:t>
      </w:r>
      <w:r>
        <w:rPr>
          <w:rFonts w:hint="default" w:ascii="Times New Roman" w:hAnsi="Times New Roman" w:cs="Times New Roman"/>
          <w:lang w:val="en-US" w:eastAsia="zh-CN"/>
        </w:rPr>
        <w:t xml:space="preserve"> 企业现有救援队伍情况</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1723"/>
        <w:gridCol w:w="3014"/>
        <w:gridCol w:w="31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序号</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姓名</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职责</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办公电话</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21"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w:t>
            </w:r>
          </w:p>
        </w:tc>
        <w:tc>
          <w:tcPr>
            <w:tcW w:w="945" w:type="pct"/>
            <w:tcBorders>
              <w:tl2br w:val="nil"/>
              <w:tr2bl w:val="nil"/>
            </w:tcBorders>
            <w:noWrap w:val="0"/>
            <w:vAlign w:val="bottom"/>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尤佩连</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应急指挥部总指挥</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13869988311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2</w:t>
            </w:r>
          </w:p>
        </w:tc>
        <w:tc>
          <w:tcPr>
            <w:tcW w:w="945" w:type="pct"/>
            <w:tcBorders>
              <w:tl2br w:val="nil"/>
              <w:tr2bl w:val="nil"/>
            </w:tcBorders>
            <w:noWrap w:val="0"/>
            <w:vAlign w:val="bottom"/>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赵悌军</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应急指挥部副总指挥</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13562982966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3</w:t>
            </w:r>
          </w:p>
        </w:tc>
        <w:tc>
          <w:tcPr>
            <w:tcW w:w="945" w:type="pct"/>
            <w:tcBorders>
              <w:tl2br w:val="nil"/>
              <w:tr2bl w:val="nil"/>
            </w:tcBorders>
            <w:noWrap w:val="0"/>
            <w:vAlign w:val="bottom"/>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李士昊</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环境应急处置组组长</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13562914582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4</w:t>
            </w:r>
          </w:p>
        </w:tc>
        <w:tc>
          <w:tcPr>
            <w:tcW w:w="945" w:type="pct"/>
            <w:tcBorders>
              <w:tl2br w:val="nil"/>
              <w:tr2bl w:val="nil"/>
            </w:tcBorders>
            <w:noWrap w:val="0"/>
            <w:vAlign w:val="bottom"/>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朱怀良</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环境应急处置组组员</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15269949275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5</w:t>
            </w:r>
          </w:p>
        </w:tc>
        <w:tc>
          <w:tcPr>
            <w:tcW w:w="945" w:type="pct"/>
            <w:tcBorders>
              <w:tl2br w:val="nil"/>
              <w:tr2bl w:val="nil"/>
            </w:tcBorders>
            <w:noWrap w:val="0"/>
            <w:vAlign w:val="bottom"/>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王永晓</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环境应急监测组组长</w:t>
            </w:r>
          </w:p>
        </w:tc>
        <w:tc>
          <w:tcPr>
            <w:tcW w:w="1738" w:type="pct"/>
            <w:tcBorders>
              <w:tl2br w:val="nil"/>
              <w:tr2bl w:val="nil"/>
            </w:tcBorders>
            <w:noWrap w:val="0"/>
            <w:vAlign w:val="bottom"/>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13355003536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6</w:t>
            </w:r>
          </w:p>
        </w:tc>
        <w:tc>
          <w:tcPr>
            <w:tcW w:w="945" w:type="pct"/>
            <w:tcBorders>
              <w:tl2br w:val="nil"/>
              <w:tr2bl w:val="nil"/>
            </w:tcBorders>
            <w:noWrap w:val="0"/>
            <w:vAlign w:val="bottom"/>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凌思浩</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环境应急监测组组员</w:t>
            </w:r>
          </w:p>
        </w:tc>
        <w:tc>
          <w:tcPr>
            <w:tcW w:w="1738" w:type="pct"/>
            <w:tcBorders>
              <w:tl2br w:val="nil"/>
              <w:tr2bl w:val="nil"/>
            </w:tcBorders>
            <w:noWrap w:val="0"/>
            <w:vAlign w:val="bottom"/>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18754968033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7</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王传云</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警戒疏散组组长</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13791553990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8</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i w:val="0"/>
                <w:color w:val="000000"/>
                <w:kern w:val="0"/>
                <w:sz w:val="22"/>
                <w:szCs w:val="22"/>
                <w:u w:val="none"/>
                <w:lang w:val="en-US" w:eastAsia="zh-CN" w:bidi="ar"/>
              </w:rPr>
              <w:t>刘地</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警戒疏散组组员</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15216579500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9</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孙相成</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医疗救护组组长</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15263986833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10</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i w:val="0"/>
                <w:color w:val="000000"/>
                <w:kern w:val="0"/>
                <w:sz w:val="22"/>
                <w:szCs w:val="22"/>
                <w:u w:val="none"/>
                <w:lang w:val="en-US" w:eastAsia="zh-CN" w:bidi="ar"/>
              </w:rPr>
              <w:t>陈则珍</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医疗救护组组员</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13287188198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11</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陈永刚</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现场处置组组长</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15020956622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top"/>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12</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i w:val="0"/>
                <w:color w:val="000000"/>
                <w:kern w:val="0"/>
                <w:sz w:val="22"/>
                <w:szCs w:val="22"/>
                <w:u w:val="none"/>
                <w:lang w:val="en-US" w:eastAsia="zh-CN" w:bidi="ar"/>
              </w:rPr>
              <w:t>张元芹</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现场处置组组员</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15092886622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top"/>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13</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张康安</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应急保障组组长</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18265119631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top"/>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14</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i w:val="0"/>
                <w:color w:val="000000"/>
                <w:kern w:val="0"/>
                <w:sz w:val="22"/>
                <w:szCs w:val="22"/>
                <w:u w:val="none"/>
                <w:lang w:val="en-US" w:eastAsia="zh-CN" w:bidi="ar"/>
              </w:rPr>
              <w:t>王晓娟</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应急保障组组员</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18353947231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王杰</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通讯联络组组长</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15553926703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662"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16</w:t>
            </w:r>
          </w:p>
        </w:tc>
        <w:tc>
          <w:tcPr>
            <w:tcW w:w="945"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i w:val="0"/>
                <w:color w:val="000000"/>
                <w:kern w:val="0"/>
                <w:sz w:val="22"/>
                <w:szCs w:val="22"/>
                <w:u w:val="none"/>
                <w:lang w:val="en-US" w:eastAsia="zh-CN" w:bidi="ar"/>
              </w:rPr>
              <w:t>王晶</w:t>
            </w:r>
          </w:p>
        </w:tc>
        <w:tc>
          <w:tcPr>
            <w:tcW w:w="1653"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通讯联络组组员</w:t>
            </w:r>
          </w:p>
        </w:tc>
        <w:tc>
          <w:tcPr>
            <w:tcW w:w="1738" w:type="pct"/>
            <w:tcBorders>
              <w:tl2br w:val="nil"/>
              <w:tr2bl w:val="nil"/>
            </w:tcBorders>
            <w:noWrap w:val="0"/>
            <w:vAlign w:val="center"/>
          </w:tcPr>
          <w:p>
            <w:pPr>
              <w:pStyle w:val="37"/>
              <w:bidi w:val="0"/>
              <w:ind w:firstLine="0" w:firstLineChars="0"/>
              <w:rPr>
                <w:rFonts w:hint="default" w:ascii="Times New Roman" w:hAnsi="Times New Roman" w:eastAsia="宋体" w:cs="Times New Roman"/>
                <w:sz w:val="21"/>
                <w:lang w:val="en-US" w:eastAsia="zh-CN"/>
              </w:rPr>
            </w:pPr>
            <w:r>
              <w:rPr>
                <w:rFonts w:hint="default" w:ascii="Times New Roman" w:hAnsi="Times New Roman" w:eastAsia="宋体" w:cs="Times New Roman"/>
                <w:sz w:val="21"/>
                <w:lang w:val="en-US" w:eastAsia="zh-CN"/>
              </w:rPr>
              <w:t>13903314233</w:t>
            </w:r>
          </w:p>
        </w:tc>
      </w:tr>
    </w:tbl>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hint="eastAsia" w:ascii="Times New Roman" w:hAnsi="Times New Roman" w:eastAsia="宋体" w:cs="Times New Roman"/>
          <w:szCs w:val="24"/>
          <w:lang w:val="en-US" w:eastAsia="zh-CN"/>
        </w:rPr>
        <w:t>1、</w:t>
      </w:r>
      <w:r>
        <w:rPr>
          <w:rFonts w:ascii="Times New Roman" w:hAnsi="Times New Roman" w:eastAsia="宋体" w:cs="Times New Roman"/>
          <w:szCs w:val="24"/>
        </w:rPr>
        <w:t>应急救援指挥部主要职责如下：</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(1) 贯彻执行国家、当地政府、上级主管部门关于突发环境事件发生和应急救援的方针、政策及有关规定。</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(2) 组织制定、修改突发环境事件应急救援预案，组建应急救援队伍，有计划地组织应急救援培训和演习。</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(3) 审批并落实突发环境事件应急救援所需的监测仪器、防护器材、救援器材等的购置。</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(4) 检查、督促做好突发环境事件的预防措施和应急救援的各项准备工作。</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(5) 批准应急救援的启动和终止。</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(6) 及时向上级有关部门报告突发环境事件的具体情况，必要时向有关单位发出</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增援请求，并向周边单位通报相关情况。</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(7) 组织指挥救援队伍实施救援行动，负责人员、资源配置、应急队伍的调动。</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(8) 协调事件现场有关工作。配合政府部门对环境进行恢复、事件调查等工作。</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(9) 负责对员工进行应急知识和基本防护方法的培训，向周边企业、敏感点等提供本单位有关危险化学品特性、救援知识等的宣传材料。如发生事故时总指挥不在单位，由副总指挥代行总指挥职责或由当时值班总负责人代行总指挥职责。</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hint="eastAsia" w:ascii="Times New Roman" w:hAnsi="Times New Roman" w:eastAsia="宋体" w:cs="Times New Roman"/>
          <w:szCs w:val="24"/>
          <w:lang w:val="en-US" w:eastAsia="zh-CN"/>
        </w:rPr>
        <w:t>2、</w:t>
      </w:r>
      <w:r>
        <w:rPr>
          <w:rFonts w:ascii="Times New Roman" w:hAnsi="Times New Roman" w:eastAsia="宋体" w:cs="Times New Roman"/>
          <w:szCs w:val="24"/>
        </w:rPr>
        <w:t>总指挥的职责如下：</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(1) 负责组织指挥全</w:t>
      </w:r>
      <w:r>
        <w:rPr>
          <w:rFonts w:hint="eastAsia" w:ascii="Times New Roman" w:hAnsi="Times New Roman" w:eastAsia="宋体" w:cs="Times New Roman"/>
          <w:szCs w:val="24"/>
        </w:rPr>
        <w:t>厂</w:t>
      </w:r>
      <w:r>
        <w:rPr>
          <w:rFonts w:ascii="Times New Roman" w:hAnsi="Times New Roman" w:eastAsia="宋体" w:cs="Times New Roman"/>
          <w:szCs w:val="24"/>
        </w:rPr>
        <w:t>的应急救援工作；</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(2) 配置应急救援的人力资源、资金和应急物资；</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(3) 向政府各相关部门报告事故情况及处置情况；</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hint="eastAsia" w:ascii="Times New Roman" w:hAnsi="Times New Roman" w:eastAsia="宋体" w:cs="Times New Roman"/>
          <w:szCs w:val="24"/>
          <w:lang w:val="en-US" w:eastAsia="zh-CN"/>
        </w:rPr>
        <w:t>3、</w:t>
      </w:r>
      <w:r>
        <w:rPr>
          <w:rFonts w:ascii="Times New Roman" w:hAnsi="Times New Roman" w:eastAsia="宋体" w:cs="Times New Roman"/>
          <w:szCs w:val="24"/>
        </w:rPr>
        <w:t>副总指挥的职责如下：</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(1) 协助总指挥负责应急救援的具体指挥工作。</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(2) 协助总指挥做好事故报警、情况通报及事故处置工作。</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(3) 负责抢修、警戒、治安保卫、疏散、道路管制工作。</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(4) 协助总指挥负责工程抢险、抢修的现场指挥。</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ascii="Times New Roman" w:hAnsi="Times New Roman" w:eastAsia="宋体" w:cs="Times New Roman"/>
          <w:szCs w:val="24"/>
        </w:rPr>
      </w:pPr>
      <w:r>
        <w:rPr>
          <w:rFonts w:ascii="Times New Roman" w:hAnsi="Times New Roman" w:eastAsia="宋体" w:cs="Times New Roman"/>
          <w:szCs w:val="24"/>
        </w:rPr>
        <w:t>(5) 负责现场医疗救护指挥及中毒、受伤人员分类抢救和护送转院工作。</w:t>
      </w:r>
    </w:p>
    <w:p>
      <w:pPr>
        <w:pStyle w:val="54"/>
        <w:keepNext w:val="0"/>
        <w:keepLines w:val="0"/>
        <w:pageBreakBefore w:val="0"/>
        <w:widowControl w:val="0"/>
        <w:kinsoku/>
        <w:wordWrap/>
        <w:overflowPunct/>
        <w:topLinePunct w:val="0"/>
        <w:autoSpaceDE/>
        <w:autoSpaceDN/>
        <w:bidi w:val="0"/>
        <w:adjustRightInd w:val="0"/>
        <w:snapToGrid w:val="0"/>
        <w:spacing w:after="0"/>
        <w:ind w:firstLine="48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3、各救援小组职责</w:t>
      </w:r>
    </w:p>
    <w:p>
      <w:pPr>
        <w:tabs>
          <w:tab w:val="left" w:pos="3864"/>
        </w:tabs>
        <w:spacing w:before="33"/>
        <w:ind w:left="0" w:leftChars="0" w:right="0" w:firstLine="0" w:firstLineChars="0"/>
        <w:jc w:val="center"/>
        <w:rPr>
          <w:rFonts w:hint="eastAsia" w:ascii="Times New Roman" w:hAnsi="Times New Roman" w:eastAsia="黑体" w:cs="Times New Roman"/>
          <w:kern w:val="2"/>
          <w:sz w:val="24"/>
          <w:szCs w:val="32"/>
          <w:lang w:val="en-US" w:eastAsia="zh-CN" w:bidi="ar-SA"/>
        </w:rPr>
      </w:pPr>
      <w:r>
        <w:rPr>
          <w:rFonts w:hint="eastAsia" w:ascii="Times New Roman" w:hAnsi="Times New Roman" w:eastAsia="黑体" w:cs="Times New Roman"/>
          <w:kern w:val="2"/>
          <w:sz w:val="24"/>
          <w:szCs w:val="32"/>
          <w:lang w:val="en-US" w:eastAsia="zh-CN" w:bidi="ar-SA"/>
        </w:rPr>
        <w:t>表</w:t>
      </w:r>
      <w:r>
        <w:rPr>
          <w:rFonts w:hint="eastAsia" w:eastAsia="黑体" w:cs="Times New Roman"/>
          <w:kern w:val="2"/>
          <w:sz w:val="24"/>
          <w:szCs w:val="32"/>
          <w:lang w:val="en-US" w:eastAsia="zh-CN" w:bidi="ar-SA"/>
        </w:rPr>
        <w:t>3</w:t>
      </w:r>
      <w:r>
        <w:rPr>
          <w:rFonts w:hint="eastAsia" w:ascii="Times New Roman" w:hAnsi="Times New Roman" w:eastAsia="黑体" w:cs="Times New Roman"/>
          <w:kern w:val="2"/>
          <w:sz w:val="24"/>
          <w:szCs w:val="32"/>
          <w:lang w:val="en-US" w:eastAsia="zh-CN" w:bidi="ar-SA"/>
        </w:rPr>
        <w:t>.</w:t>
      </w:r>
      <w:r>
        <w:rPr>
          <w:rFonts w:hint="eastAsia" w:eastAsia="黑体" w:cs="Times New Roman"/>
          <w:kern w:val="2"/>
          <w:sz w:val="24"/>
          <w:szCs w:val="32"/>
          <w:lang w:val="en-US" w:eastAsia="zh-CN" w:bidi="ar-SA"/>
        </w:rPr>
        <w:t>7</w:t>
      </w:r>
      <w:r>
        <w:rPr>
          <w:rFonts w:hint="eastAsia" w:ascii="Times New Roman" w:hAnsi="Times New Roman" w:eastAsia="黑体" w:cs="Times New Roman"/>
          <w:kern w:val="2"/>
          <w:sz w:val="24"/>
          <w:szCs w:val="32"/>
          <w:lang w:val="en-US" w:eastAsia="zh-CN" w:bidi="ar-SA"/>
        </w:rPr>
        <w:t>-</w:t>
      </w:r>
      <w:r>
        <w:rPr>
          <w:rFonts w:hint="eastAsia" w:eastAsia="黑体" w:cs="Times New Roman"/>
          <w:kern w:val="2"/>
          <w:sz w:val="24"/>
          <w:szCs w:val="32"/>
          <w:lang w:val="en-US" w:eastAsia="zh-CN" w:bidi="ar-SA"/>
        </w:rPr>
        <w:t xml:space="preserve">2 </w:t>
      </w:r>
      <w:r>
        <w:rPr>
          <w:rFonts w:hint="eastAsia" w:ascii="Times New Roman" w:hAnsi="Times New Roman" w:eastAsia="黑体" w:cs="Times New Roman"/>
          <w:kern w:val="2"/>
          <w:sz w:val="24"/>
          <w:szCs w:val="32"/>
          <w:lang w:val="en-US" w:eastAsia="zh-CN" w:bidi="ar-SA"/>
        </w:rPr>
        <w:t>应急救援小组分工及职责表</w:t>
      </w:r>
    </w:p>
    <w:tbl>
      <w:tblPr>
        <w:tblStyle w:val="29"/>
        <w:tblW w:w="5006"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811"/>
        <w:gridCol w:w="210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821" w:type="pct"/>
            <w:tcBorders>
              <w:tl2br w:val="nil"/>
              <w:tr2bl w:val="nil"/>
            </w:tcBorders>
            <w:noWrap w:val="0"/>
            <w:vAlign w:val="center"/>
          </w:tcPr>
          <w:p>
            <w:pPr>
              <w:pStyle w:val="35"/>
              <w:bidi w:val="0"/>
              <w:rPr>
                <w:rFonts w:hint="eastAsia"/>
                <w:color w:val="auto"/>
              </w:rPr>
            </w:pPr>
            <w:r>
              <w:rPr>
                <w:rFonts w:hint="eastAsia"/>
                <w:color w:val="auto"/>
              </w:rPr>
              <w:t>应急工作组职责</w:t>
            </w:r>
          </w:p>
        </w:tc>
        <w:tc>
          <w:tcPr>
            <w:tcW w:w="1178" w:type="pct"/>
            <w:tcBorders>
              <w:tl2br w:val="nil"/>
              <w:tr2bl w:val="nil"/>
            </w:tcBorders>
            <w:noWrap w:val="0"/>
            <w:vAlign w:val="center"/>
          </w:tcPr>
          <w:p>
            <w:pPr>
              <w:pStyle w:val="35"/>
              <w:bidi w:val="0"/>
              <w:rPr>
                <w:rFonts w:hint="eastAsia"/>
                <w:color w:val="auto"/>
                <w:lang w:eastAsia="zh-CN"/>
              </w:rPr>
            </w:pPr>
            <w:r>
              <w:rPr>
                <w:rFonts w:hint="eastAsia"/>
                <w:color w:val="auto"/>
                <w:lang w:eastAsia="zh-CN"/>
              </w:rPr>
              <w:t>日常职责</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3" w:hRule="atLeast"/>
        </w:trPr>
        <w:tc>
          <w:tcPr>
            <w:tcW w:w="3821" w:type="pct"/>
            <w:tcBorders>
              <w:tl2br w:val="nil"/>
              <w:tr2bl w:val="nil"/>
            </w:tcBorders>
            <w:noWrap w:val="0"/>
            <w:vAlign w:val="center"/>
          </w:tcPr>
          <w:p>
            <w:pPr>
              <w:pStyle w:val="35"/>
              <w:bidi w:val="0"/>
              <w:rPr>
                <w:rFonts w:hint="eastAsia"/>
                <w:color w:val="auto"/>
              </w:rPr>
            </w:pPr>
            <w:r>
              <w:rPr>
                <w:rFonts w:hint="eastAsia"/>
                <w:color w:val="auto"/>
              </w:rPr>
              <w:t>协助总指挥、副总指挥负责应急救援的具体指挥工作，总指挥、副总指挥不在时行使总指挥职责</w:t>
            </w:r>
          </w:p>
        </w:tc>
        <w:tc>
          <w:tcPr>
            <w:tcW w:w="1178" w:type="pct"/>
            <w:tcBorders>
              <w:tl2br w:val="nil"/>
              <w:tr2bl w:val="nil"/>
            </w:tcBorders>
            <w:noWrap w:val="0"/>
            <w:vAlign w:val="center"/>
          </w:tcPr>
          <w:p>
            <w:pPr>
              <w:pStyle w:val="35"/>
              <w:bidi w:val="0"/>
              <w:rPr>
                <w:rFonts w:hint="eastAsia"/>
                <w:color w:val="auto"/>
                <w:lang w:eastAsia="zh-CN"/>
              </w:rPr>
            </w:pPr>
            <w:r>
              <w:rPr>
                <w:rFonts w:hint="eastAsia"/>
                <w:color w:val="auto"/>
                <w:lang w:eastAsia="zh-CN"/>
              </w:rPr>
              <w:t>协助总指挥、副总指挥进行应急演练及培训</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3" w:hRule="atLeast"/>
        </w:trPr>
        <w:tc>
          <w:tcPr>
            <w:tcW w:w="5000" w:type="pct"/>
            <w:gridSpan w:val="2"/>
            <w:tcBorders>
              <w:tl2br w:val="nil"/>
              <w:tr2bl w:val="nil"/>
            </w:tcBorders>
            <w:noWrap w:val="0"/>
            <w:vAlign w:val="center"/>
          </w:tcPr>
          <w:p>
            <w:pPr>
              <w:pStyle w:val="35"/>
              <w:bidi w:val="0"/>
              <w:rPr>
                <w:rFonts w:hint="eastAsia"/>
                <w:color w:val="auto"/>
              </w:rPr>
            </w:pPr>
            <w:r>
              <w:rPr>
                <w:rFonts w:hint="eastAsia"/>
                <w:color w:val="auto"/>
              </w:rPr>
              <w:t>通讯联络组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821" w:type="pct"/>
            <w:tcBorders>
              <w:tl2br w:val="nil"/>
              <w:tr2bl w:val="nil"/>
            </w:tcBorders>
            <w:noWrap w:val="0"/>
            <w:vAlign w:val="center"/>
          </w:tcPr>
          <w:p>
            <w:pPr>
              <w:pStyle w:val="35"/>
              <w:bidi w:val="0"/>
              <w:rPr>
                <w:rFonts w:hint="eastAsia"/>
                <w:color w:val="auto"/>
              </w:rPr>
            </w:pPr>
            <w:r>
              <w:rPr>
                <w:rFonts w:hint="eastAsia"/>
                <w:color w:val="auto"/>
              </w:rPr>
              <w:t>立即采取措施中断一般外线电话，确保事故处理外线畅通，应急指挥部处理事故所用电话迅速、准备无误；迅速通知应急指挥部、各救援专业组及有关部门；快速下达总指挥的应急处置指令；接受指挥中心指令对外信息发布。</w:t>
            </w:r>
          </w:p>
        </w:tc>
        <w:tc>
          <w:tcPr>
            <w:tcW w:w="1178" w:type="pct"/>
            <w:tcBorders>
              <w:tl2br w:val="nil"/>
              <w:tr2bl w:val="nil"/>
            </w:tcBorders>
            <w:noWrap w:val="0"/>
            <w:vAlign w:val="center"/>
          </w:tcPr>
          <w:p>
            <w:pPr>
              <w:pStyle w:val="35"/>
              <w:bidi w:val="0"/>
              <w:rPr>
                <w:rFonts w:hint="eastAsia"/>
                <w:color w:val="auto"/>
              </w:rPr>
            </w:pPr>
            <w:r>
              <w:rPr>
                <w:rFonts w:hint="eastAsia"/>
                <w:color w:val="auto"/>
              </w:rPr>
              <w:t>保持通讯联络畅通</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00" w:type="pct"/>
            <w:gridSpan w:val="2"/>
            <w:tcBorders>
              <w:tl2br w:val="nil"/>
              <w:tr2bl w:val="nil"/>
            </w:tcBorders>
            <w:noWrap w:val="0"/>
            <w:vAlign w:val="center"/>
          </w:tcPr>
          <w:p>
            <w:pPr>
              <w:pStyle w:val="35"/>
              <w:bidi w:val="0"/>
              <w:rPr>
                <w:rFonts w:hint="eastAsia"/>
                <w:color w:val="auto"/>
                <w:lang w:eastAsia="zh-CN"/>
              </w:rPr>
            </w:pPr>
            <w:r>
              <w:rPr>
                <w:rFonts w:hint="eastAsia"/>
                <w:color w:val="auto"/>
                <w:lang w:eastAsia="zh-CN"/>
              </w:rPr>
              <w:t>应急保障组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821" w:type="pct"/>
            <w:tcBorders>
              <w:tl2br w:val="nil"/>
              <w:tr2bl w:val="nil"/>
            </w:tcBorders>
            <w:noWrap w:val="0"/>
            <w:vAlign w:val="center"/>
          </w:tcPr>
          <w:p>
            <w:pPr>
              <w:pStyle w:val="35"/>
              <w:bidi w:val="0"/>
              <w:rPr>
                <w:rFonts w:hint="eastAsia"/>
                <w:color w:val="auto"/>
              </w:rPr>
            </w:pPr>
            <w:r>
              <w:rPr>
                <w:rFonts w:hint="eastAsia"/>
                <w:color w:val="auto"/>
              </w:rPr>
              <w:t>负责应急值守，及时向总指挥报告现场事故信息，及时向政府有关部门报告事故情况，接受和传达政府有关部门关于事故救援工作的批示和意见，协调各专业组有关事宜；按总指挥指示，负责与新闻媒体联系和事故信息通报工作；接受现场反馈的信息，协调确定医疗、健康和安全及保安的需求；为建立应急指挥部提供保障条件；向周边单位社区划通报事故情况，必要时向有关单位发出救援请求；</w:t>
            </w:r>
          </w:p>
        </w:tc>
        <w:tc>
          <w:tcPr>
            <w:tcW w:w="1178" w:type="pct"/>
            <w:tcBorders>
              <w:tl2br w:val="nil"/>
              <w:tr2bl w:val="nil"/>
            </w:tcBorders>
            <w:noWrap w:val="0"/>
            <w:vAlign w:val="center"/>
          </w:tcPr>
          <w:p>
            <w:pPr>
              <w:pStyle w:val="35"/>
              <w:bidi w:val="0"/>
              <w:rPr>
                <w:rFonts w:hint="eastAsia"/>
                <w:color w:val="auto"/>
              </w:rPr>
            </w:pPr>
            <w:r>
              <w:rPr>
                <w:rFonts w:hint="eastAsia"/>
                <w:color w:val="auto"/>
              </w:rPr>
              <w:t>负责伤员生活必需品和抢险物资的供应运输</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00" w:type="pct"/>
            <w:gridSpan w:val="2"/>
            <w:tcBorders>
              <w:tl2br w:val="nil"/>
              <w:tr2bl w:val="nil"/>
            </w:tcBorders>
            <w:noWrap w:val="0"/>
            <w:vAlign w:val="center"/>
          </w:tcPr>
          <w:p>
            <w:pPr>
              <w:pStyle w:val="35"/>
              <w:bidi w:val="0"/>
              <w:rPr>
                <w:rFonts w:hint="eastAsia"/>
                <w:color w:val="auto"/>
                <w:lang w:eastAsia="zh-CN"/>
              </w:rPr>
            </w:pPr>
            <w:r>
              <w:rPr>
                <w:rFonts w:hint="eastAsia"/>
                <w:color w:val="auto"/>
                <w:lang w:eastAsia="zh-CN"/>
              </w:rPr>
              <w:t>警戒疏散</w:t>
            </w:r>
            <w:r>
              <w:rPr>
                <w:rFonts w:hint="eastAsia"/>
                <w:color w:val="auto"/>
              </w:rPr>
              <w:t>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821" w:type="pct"/>
            <w:tcBorders>
              <w:tl2br w:val="nil"/>
              <w:tr2bl w:val="nil"/>
            </w:tcBorders>
            <w:noWrap w:val="0"/>
            <w:vAlign w:val="center"/>
          </w:tcPr>
          <w:p>
            <w:pPr>
              <w:pStyle w:val="35"/>
              <w:bidi w:val="0"/>
              <w:rPr>
                <w:rFonts w:hint="eastAsia"/>
                <w:color w:val="auto"/>
              </w:rPr>
            </w:pPr>
            <w:r>
              <w:rPr>
                <w:rFonts w:hint="eastAsia"/>
                <w:color w:val="auto"/>
              </w:rPr>
              <w:t>根据现场指挥部的决定，负责组织现场警戒隔离，现场治安，督察管治，禁止无关人员进入现场，指导群众疏散任务，必要时进行交通管制，组织人员向上风向疏散</w:t>
            </w:r>
            <w:r>
              <w:rPr>
                <w:rFonts w:hint="eastAsia"/>
                <w:color w:val="auto"/>
                <w:lang w:eastAsia="zh-CN"/>
              </w:rPr>
              <w:t>；</w:t>
            </w:r>
            <w:r>
              <w:rPr>
                <w:rFonts w:hint="eastAsia"/>
                <w:color w:val="auto"/>
              </w:rPr>
              <w:t>负责保障救援交通顺畅；组织事故可能危及区域内的人员疏散撤离，协助公安</w:t>
            </w:r>
            <w:r>
              <w:rPr>
                <w:rFonts w:hint="eastAsia"/>
                <w:color w:val="auto"/>
                <w:lang w:eastAsia="zh-CN"/>
              </w:rPr>
              <w:t>、</w:t>
            </w:r>
            <w:r>
              <w:rPr>
                <w:rFonts w:hint="eastAsia"/>
                <w:color w:val="auto"/>
              </w:rPr>
              <w:t>交警大队负责事故现场的治安保卫、危险区域警戒，根据事故抢救的需要，在周边地区实行交通管制，对人员撤离区域进行治安管理；维护事故现场及周围地区的治安秩序。</w:t>
            </w:r>
          </w:p>
        </w:tc>
        <w:tc>
          <w:tcPr>
            <w:tcW w:w="1178" w:type="pct"/>
            <w:tcBorders>
              <w:tl2br w:val="nil"/>
              <w:tr2bl w:val="nil"/>
            </w:tcBorders>
            <w:noWrap w:val="0"/>
            <w:vAlign w:val="center"/>
          </w:tcPr>
          <w:p>
            <w:pPr>
              <w:pStyle w:val="35"/>
              <w:bidi w:val="0"/>
              <w:rPr>
                <w:rFonts w:hint="eastAsia"/>
                <w:color w:val="auto"/>
              </w:rPr>
            </w:pPr>
            <w:r>
              <w:rPr>
                <w:rFonts w:hint="eastAsia"/>
                <w:color w:val="auto"/>
              </w:rPr>
              <w:t>加强厂区管理及巡逻；加强应急物资的管理及使用；严格监督外来人员及工作人员。</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00" w:type="pct"/>
            <w:gridSpan w:val="2"/>
            <w:tcBorders>
              <w:tl2br w:val="nil"/>
              <w:tr2bl w:val="nil"/>
            </w:tcBorders>
            <w:noWrap w:val="0"/>
            <w:vAlign w:val="center"/>
          </w:tcPr>
          <w:p>
            <w:pPr>
              <w:pStyle w:val="35"/>
              <w:bidi w:val="0"/>
              <w:rPr>
                <w:rFonts w:hint="eastAsia"/>
                <w:color w:val="auto"/>
                <w:lang w:eastAsia="zh-CN"/>
              </w:rPr>
            </w:pPr>
            <w:r>
              <w:rPr>
                <w:rFonts w:hint="eastAsia"/>
                <w:color w:val="auto"/>
                <w:lang w:eastAsia="zh-CN"/>
              </w:rPr>
              <w:t>环境应急监测组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821" w:type="pct"/>
            <w:tcBorders>
              <w:tl2br w:val="nil"/>
              <w:tr2bl w:val="nil"/>
            </w:tcBorders>
            <w:noWrap w:val="0"/>
            <w:vAlign w:val="center"/>
          </w:tcPr>
          <w:p>
            <w:pPr>
              <w:pStyle w:val="35"/>
              <w:bidi w:val="0"/>
              <w:rPr>
                <w:rFonts w:hint="eastAsia"/>
                <w:color w:val="auto"/>
              </w:rPr>
            </w:pPr>
            <w:r>
              <w:rPr>
                <w:rFonts w:hint="eastAsia"/>
                <w:color w:val="auto"/>
              </w:rPr>
              <w:t>负责联络外部监测单位对受影响的大气、水体、土壤等进行及时监测，对可能造成人员中毒的化学品泄漏，确定危险区域范围和危险物质的成分及浓度，为环境影响评估提供依据，为指挥人员决策和消除污染提供依据，并根据当时气象条件及泄漏物浓度，确定具体疏散路线。</w:t>
            </w:r>
          </w:p>
        </w:tc>
        <w:tc>
          <w:tcPr>
            <w:tcW w:w="1178" w:type="pct"/>
            <w:tcBorders>
              <w:tl2br w:val="nil"/>
              <w:tr2bl w:val="nil"/>
            </w:tcBorders>
            <w:noWrap w:val="0"/>
            <w:vAlign w:val="center"/>
          </w:tcPr>
          <w:p>
            <w:pPr>
              <w:pStyle w:val="35"/>
              <w:bidi w:val="0"/>
              <w:rPr>
                <w:rFonts w:hint="eastAsia"/>
                <w:color w:val="auto"/>
              </w:rPr>
            </w:pPr>
            <w:r>
              <w:rPr>
                <w:rFonts w:hint="eastAsia"/>
                <w:color w:val="auto"/>
              </w:rPr>
              <w:t>保持与有监测资质的单位联络</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00" w:type="pct"/>
            <w:gridSpan w:val="2"/>
            <w:tcBorders>
              <w:tl2br w:val="nil"/>
              <w:tr2bl w:val="nil"/>
            </w:tcBorders>
            <w:noWrap w:val="0"/>
            <w:vAlign w:val="center"/>
          </w:tcPr>
          <w:p>
            <w:pPr>
              <w:pStyle w:val="35"/>
              <w:bidi w:val="0"/>
              <w:rPr>
                <w:rFonts w:hint="eastAsia"/>
                <w:color w:val="auto"/>
                <w:lang w:eastAsia="zh-CN"/>
              </w:rPr>
            </w:pPr>
            <w:r>
              <w:rPr>
                <w:rFonts w:hint="eastAsia"/>
                <w:color w:val="auto"/>
                <w:lang w:eastAsia="zh-CN"/>
              </w:rPr>
              <w:t>医疗救护组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821" w:type="pct"/>
            <w:tcBorders>
              <w:tl2br w:val="nil"/>
              <w:tr2bl w:val="nil"/>
            </w:tcBorders>
            <w:noWrap w:val="0"/>
            <w:vAlign w:val="center"/>
          </w:tcPr>
          <w:p>
            <w:pPr>
              <w:pStyle w:val="35"/>
              <w:bidi w:val="0"/>
              <w:rPr>
                <w:rFonts w:hint="eastAsia"/>
                <w:color w:val="auto"/>
              </w:rPr>
            </w:pPr>
            <w:r>
              <w:rPr>
                <w:rFonts w:hint="eastAsia"/>
                <w:color w:val="auto"/>
              </w:rPr>
              <w:t>负责对伤员的救护等现场急救；协助专业医疗队伍将伤员护送到相关单位进行抢救和安置；负责事故现场调配医务人员、医疗器材、急救药品；协助应急救援指挥部做好死难者的善后工作。</w:t>
            </w:r>
          </w:p>
        </w:tc>
        <w:tc>
          <w:tcPr>
            <w:tcW w:w="1178" w:type="pct"/>
            <w:tcBorders>
              <w:tl2br w:val="nil"/>
              <w:tr2bl w:val="nil"/>
            </w:tcBorders>
            <w:noWrap w:val="0"/>
            <w:vAlign w:val="center"/>
          </w:tcPr>
          <w:p>
            <w:pPr>
              <w:pStyle w:val="35"/>
              <w:bidi w:val="0"/>
              <w:rPr>
                <w:rFonts w:hint="eastAsia"/>
                <w:color w:val="auto"/>
              </w:rPr>
            </w:pPr>
            <w:r>
              <w:rPr>
                <w:rFonts w:hint="eastAsia"/>
                <w:color w:val="auto"/>
              </w:rPr>
              <w:t>积极配合应急演练，熟练掌握现场救护知识，加强演习。</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00" w:type="pct"/>
            <w:gridSpan w:val="2"/>
            <w:tcBorders>
              <w:tl2br w:val="nil"/>
              <w:tr2bl w:val="nil"/>
            </w:tcBorders>
            <w:noWrap w:val="0"/>
            <w:vAlign w:val="center"/>
          </w:tcPr>
          <w:p>
            <w:pPr>
              <w:pStyle w:val="35"/>
              <w:bidi w:val="0"/>
              <w:rPr>
                <w:rFonts w:hint="eastAsia"/>
                <w:color w:val="auto"/>
                <w:lang w:eastAsia="zh-CN"/>
              </w:rPr>
            </w:pPr>
            <w:r>
              <w:rPr>
                <w:rFonts w:hint="eastAsia"/>
                <w:color w:val="auto"/>
                <w:lang w:eastAsia="zh-CN"/>
              </w:rPr>
              <w:t>环境应急监测组</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3821" w:type="pct"/>
            <w:tcBorders>
              <w:tl2br w:val="nil"/>
              <w:tr2bl w:val="nil"/>
            </w:tcBorders>
            <w:noWrap w:val="0"/>
            <w:vAlign w:val="center"/>
          </w:tcPr>
          <w:p>
            <w:pPr>
              <w:pStyle w:val="35"/>
              <w:bidi w:val="0"/>
              <w:rPr>
                <w:rFonts w:hint="eastAsia"/>
                <w:color w:val="auto"/>
                <w:lang w:eastAsia="zh-CN"/>
              </w:rPr>
            </w:pPr>
            <w:r>
              <w:rPr>
                <w:rFonts w:hint="default"/>
                <w:color w:val="auto"/>
              </w:rPr>
              <w:t>负责事故现场的排险、抢救，遏制事故的扩大，环境危险物质的处理</w:t>
            </w:r>
            <w:r>
              <w:rPr>
                <w:rFonts w:hint="eastAsia"/>
                <w:color w:val="auto"/>
                <w:lang w:eastAsia="zh-CN"/>
              </w:rPr>
              <w:t>；</w:t>
            </w:r>
            <w:r>
              <w:rPr>
                <w:rFonts w:hint="default"/>
                <w:color w:val="auto"/>
              </w:rPr>
              <w:t>尽可能控制危险源，同时要采取措施保护现场，防止有毒、有害物质的扩散，开启现场固定消防装置进行灭火</w:t>
            </w:r>
            <w:r>
              <w:rPr>
                <w:rFonts w:hint="eastAsia"/>
                <w:color w:val="auto"/>
                <w:lang w:eastAsia="zh-CN"/>
              </w:rPr>
              <w:t>；</w:t>
            </w:r>
            <w:r>
              <w:rPr>
                <w:rFonts w:hint="default"/>
                <w:color w:val="auto"/>
              </w:rPr>
              <w:t>负责对事故现场或有可能受到事故影响的现场周围的物资进行抢救疏散</w:t>
            </w:r>
            <w:r>
              <w:rPr>
                <w:rFonts w:hint="eastAsia"/>
                <w:color w:val="auto"/>
                <w:lang w:eastAsia="zh-CN"/>
              </w:rPr>
              <w:t>；</w:t>
            </w:r>
            <w:r>
              <w:rPr>
                <w:rFonts w:hint="default"/>
                <w:color w:val="auto"/>
              </w:rPr>
              <w:t>查明有无中毒人员及操作者被困，及时使严重中毒者、被困者脱离危险区域</w:t>
            </w:r>
            <w:r>
              <w:rPr>
                <w:rFonts w:hint="eastAsia"/>
                <w:color w:val="auto"/>
                <w:lang w:eastAsia="zh-CN"/>
              </w:rPr>
              <w:t>；</w:t>
            </w:r>
            <w:r>
              <w:rPr>
                <w:rFonts w:hint="default"/>
                <w:color w:val="auto"/>
              </w:rPr>
              <w:t>协助抢险后事故现场的隐患排查，为恢复运行作好准备。</w:t>
            </w:r>
          </w:p>
        </w:tc>
        <w:tc>
          <w:tcPr>
            <w:tcW w:w="1178" w:type="pct"/>
            <w:tcBorders>
              <w:tl2br w:val="nil"/>
              <w:tr2bl w:val="nil"/>
            </w:tcBorders>
            <w:noWrap w:val="0"/>
            <w:vAlign w:val="center"/>
          </w:tcPr>
          <w:p>
            <w:pPr>
              <w:pStyle w:val="35"/>
              <w:bidi w:val="0"/>
              <w:rPr>
                <w:rFonts w:hint="eastAsia"/>
                <w:color w:val="auto"/>
              </w:rPr>
            </w:pPr>
            <w:r>
              <w:rPr>
                <w:rFonts w:hint="eastAsia"/>
                <w:color w:val="auto"/>
              </w:rPr>
              <w:t>根据现场情况，对厂区应急资源进行检查，出现问题及时抢修；定期检查设备运行情况，并做好维修检查记录。</w:t>
            </w:r>
          </w:p>
        </w:tc>
      </w:tr>
    </w:tbl>
    <w:p>
      <w:pPr>
        <w:pStyle w:val="5"/>
        <w:bidi w:val="0"/>
        <w:rPr>
          <w:rFonts w:hint="default" w:ascii="Times New Roman" w:hAnsi="Times New Roman" w:eastAsia="宋体" w:cs="Times New Roman"/>
          <w:bCs w:val="0"/>
          <w:color w:val="auto"/>
          <w:kern w:val="2"/>
          <w:sz w:val="24"/>
          <w:szCs w:val="24"/>
          <w:lang w:val="en-US" w:eastAsia="zh-CN" w:bidi="ar-SA"/>
        </w:rPr>
      </w:pPr>
      <w:r>
        <w:rPr>
          <w:rFonts w:hint="eastAsia" w:ascii="Times New Roman" w:hAnsi="Times New Roman" w:cs="Times New Roman"/>
          <w:color w:val="auto"/>
          <w:lang w:val="en-US" w:eastAsia="zh-CN"/>
        </w:rPr>
        <w:t>3.7.2</w:t>
      </w:r>
      <w:r>
        <w:rPr>
          <w:rFonts w:hint="default" w:ascii="Times New Roman" w:hAnsi="Times New Roman" w:cs="Times New Roman"/>
          <w:color w:val="auto"/>
        </w:rPr>
        <w:t>应急物资与装备</w:t>
      </w:r>
    </w:p>
    <w:p>
      <w:pPr>
        <w:pStyle w:val="54"/>
        <w:keepNext w:val="0"/>
        <w:keepLines w:val="0"/>
        <w:pageBreakBefore w:val="0"/>
        <w:widowControl w:val="0"/>
        <w:kinsoku/>
        <w:wordWrap/>
        <w:overflowPunct/>
        <w:topLinePunct w:val="0"/>
        <w:autoSpaceDE/>
        <w:autoSpaceDN/>
        <w:bidi w:val="0"/>
        <w:adjustRightInd w:val="0"/>
        <w:snapToGrid w:val="0"/>
        <w:spacing w:after="0"/>
        <w:ind w:firstLine="480"/>
        <w:jc w:val="both"/>
        <w:textAlignment w:val="auto"/>
        <w:rPr>
          <w:rFonts w:hint="default" w:ascii="Times New Roman" w:hAnsi="Times New Roman" w:eastAsia="宋体" w:cs="Times New Roman"/>
          <w:bCs w:val="0"/>
          <w:color w:val="auto"/>
          <w:kern w:val="2"/>
          <w:sz w:val="24"/>
          <w:szCs w:val="24"/>
          <w:lang w:val="en-US" w:eastAsia="zh-CN" w:bidi="ar-SA"/>
        </w:rPr>
      </w:pPr>
      <w:r>
        <w:rPr>
          <w:rFonts w:hint="default" w:ascii="Times New Roman" w:hAnsi="Times New Roman" w:eastAsia="宋体" w:cs="Times New Roman"/>
          <w:bCs w:val="0"/>
          <w:color w:val="auto"/>
          <w:kern w:val="2"/>
          <w:sz w:val="24"/>
          <w:szCs w:val="24"/>
          <w:lang w:val="en-US" w:eastAsia="zh-CN" w:bidi="ar-SA"/>
        </w:rPr>
        <w:t>现有应急资源是指第一时间可以使用的厂内应急物资、应急装备以及企业外部可以请求援助的应急资源。</w:t>
      </w:r>
    </w:p>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宋体" w:cs="Times New Roman"/>
          <w:bCs w:val="0"/>
          <w:color w:val="auto"/>
          <w:kern w:val="2"/>
          <w:sz w:val="24"/>
          <w:szCs w:val="24"/>
          <w:lang w:val="en-US" w:eastAsia="zh-CN" w:bidi="ar-SA"/>
        </w:rPr>
      </w:pPr>
      <w:r>
        <w:rPr>
          <w:rFonts w:hint="eastAsia" w:ascii="Times New Roman" w:hAnsi="Times New Roman" w:eastAsia="宋体" w:cs="Times New Roman"/>
          <w:bCs w:val="0"/>
          <w:color w:val="auto"/>
          <w:kern w:val="2"/>
          <w:sz w:val="24"/>
          <w:szCs w:val="24"/>
          <w:lang w:val="en-US" w:eastAsia="zh-CN" w:bidi="ar-SA"/>
        </w:rPr>
        <w:t>公司</w:t>
      </w:r>
      <w:r>
        <w:rPr>
          <w:rFonts w:hint="default" w:ascii="Times New Roman" w:hAnsi="Times New Roman" w:eastAsia="宋体" w:cs="Times New Roman"/>
          <w:bCs w:val="0"/>
          <w:color w:val="auto"/>
          <w:kern w:val="2"/>
          <w:sz w:val="24"/>
          <w:szCs w:val="24"/>
          <w:lang w:val="en-US" w:eastAsia="zh-CN" w:bidi="ar-SA"/>
        </w:rPr>
        <w:t>配备一定数量的应急物资，公司现有应急物资与装备、救援队伍情况汇总见表3.7-</w:t>
      </w:r>
      <w:r>
        <w:rPr>
          <w:rFonts w:hint="eastAsia" w:eastAsia="宋体" w:cs="Times New Roman"/>
          <w:bCs w:val="0"/>
          <w:color w:val="auto"/>
          <w:kern w:val="2"/>
          <w:sz w:val="24"/>
          <w:szCs w:val="24"/>
          <w:lang w:val="en-US" w:eastAsia="zh-CN" w:bidi="ar-SA"/>
        </w:rPr>
        <w:t>3</w:t>
      </w:r>
      <w:r>
        <w:rPr>
          <w:rFonts w:hint="default" w:ascii="Times New Roman" w:hAnsi="Times New Roman" w:eastAsia="宋体" w:cs="Times New Roman"/>
          <w:bCs w:val="0"/>
          <w:color w:val="auto"/>
          <w:kern w:val="2"/>
          <w:sz w:val="24"/>
          <w:szCs w:val="24"/>
          <w:lang w:val="en-US" w:eastAsia="zh-CN" w:bidi="ar-SA"/>
        </w:rPr>
        <w:t>。</w:t>
      </w:r>
    </w:p>
    <w:p>
      <w:pPr>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表3.7-</w:t>
      </w:r>
      <w:r>
        <w:rPr>
          <w:rFonts w:hint="eastAsia" w:ascii="Times New Roman" w:hAnsi="Times New Roman" w:eastAsia="黑体" w:cs="Times New Roman"/>
          <w:color w:val="auto"/>
          <w:lang w:val="en-US" w:eastAsia="zh-CN"/>
        </w:rPr>
        <w:t>3</w:t>
      </w:r>
      <w:r>
        <w:rPr>
          <w:rFonts w:hint="default" w:ascii="Times New Roman" w:hAnsi="Times New Roman" w:eastAsia="黑体" w:cs="Times New Roman"/>
          <w:color w:val="auto"/>
          <w:lang w:val="en-US" w:eastAsia="zh-CN"/>
        </w:rPr>
        <w:t xml:space="preserve"> 现有应急物资与装备</w:t>
      </w:r>
    </w:p>
    <w:tbl>
      <w:tblPr>
        <w:tblStyle w:val="29"/>
        <w:tblW w:w="504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96"/>
        <w:gridCol w:w="228"/>
        <w:gridCol w:w="564"/>
        <w:gridCol w:w="817"/>
        <w:gridCol w:w="1081"/>
        <w:gridCol w:w="541"/>
        <w:gridCol w:w="708"/>
        <w:gridCol w:w="1587"/>
        <w:gridCol w:w="1113"/>
        <w:gridCol w:w="184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2" w:hRule="atLeas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bookmarkStart w:id="75" w:name="_Toc421483214"/>
            <w:bookmarkStart w:id="76" w:name="_Toc401654930"/>
            <w:r>
              <w:rPr>
                <w:rFonts w:hint="default" w:ascii="Times New Roman" w:hAnsi="Times New Roman" w:eastAsia="宋体" w:cs="Times New Roman"/>
                <w:color w:val="auto"/>
                <w:sz w:val="21"/>
                <w:szCs w:val="21"/>
                <w:lang w:val="en-US" w:eastAsia="zh-CN"/>
              </w:rPr>
              <w:t>序号</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名称</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型号/规格</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储备量</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维护日期</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主要功能</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设置位置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896" w:type="pct"/>
            <w:gridSpan w:val="3"/>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灭火器</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MF/ABC8</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42个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甲醛装置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MFT/ABC50</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MF/ABC8</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产品仓库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MF/ABC4</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危废库、固废库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MF/ABC4</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MT7</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综合楼内配电室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MF/ABC4</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消防泵房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MF/ABC8</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控制室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MTT50</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MF/ABC8</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尾气锅炉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MF/ABC4</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软水间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MF/ABC4</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制氮机房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MF/ABC4</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循环水泵房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MF/ABC8</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装卸区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MF/ABC8</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甲醇罐区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896"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MF/ABC8</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甲醛罐区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消防战斗服</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02款</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6套</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个人防护</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消防手斧</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救援破拆</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重型防化服</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RHF-1</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2套</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隔离防护</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正压式呼吸器</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RHZK</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4套</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隔离防护</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防毒面具</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3号罐</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10套</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隔离防护</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安全绳</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4套</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救援</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分水器</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F1165/65*2</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定期检修</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防爆手电</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YJ7620</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救援照明</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消防水带</w:t>
            </w:r>
          </w:p>
        </w:tc>
        <w:tc>
          <w:tcPr>
            <w:tcW w:w="9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8-65-25</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20盘</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输水灭火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消防定位呼救器</w:t>
            </w:r>
          </w:p>
        </w:tc>
        <w:tc>
          <w:tcPr>
            <w:tcW w:w="903"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救援定位</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防腐蚀手套</w:t>
            </w:r>
          </w:p>
        </w:tc>
        <w:tc>
          <w:tcPr>
            <w:tcW w:w="903"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10副</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隔离防护</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应急药箱</w:t>
            </w:r>
          </w:p>
        </w:tc>
        <w:tc>
          <w:tcPr>
            <w:tcW w:w="903"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应急护理</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便携式检测仪</w:t>
            </w:r>
          </w:p>
        </w:tc>
        <w:tc>
          <w:tcPr>
            <w:tcW w:w="903"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救援检测</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防爆对讲机</w:t>
            </w:r>
          </w:p>
        </w:tc>
        <w:tc>
          <w:tcPr>
            <w:tcW w:w="903"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10个</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救援呼叫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综合楼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exact"/>
          <w:jc w:val="center"/>
        </w:trPr>
        <w:tc>
          <w:tcPr>
            <w:tcW w:w="276"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p>
        </w:tc>
        <w:tc>
          <w:tcPr>
            <w:tcW w:w="896"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应急消防车</w:t>
            </w:r>
          </w:p>
        </w:tc>
        <w:tc>
          <w:tcPr>
            <w:tcW w:w="903"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394"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1辆</w:t>
            </w:r>
          </w:p>
        </w:tc>
        <w:tc>
          <w:tcPr>
            <w:tcW w:w="883"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定期维护</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救援灭火</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5000" w:type="pct"/>
            <w:gridSpan w:val="10"/>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微软雅黑" w:cs="Times New Roman"/>
                <w:color w:val="auto"/>
                <w:sz w:val="21"/>
                <w:szCs w:val="21"/>
                <w:lang w:val="en-US" w:eastAsia="zh-CN"/>
              </w:rPr>
            </w:pPr>
            <w:r>
              <w:rPr>
                <w:rFonts w:hint="default" w:ascii="Times New Roman" w:hAnsi="Times New Roman" w:cs="Times New Roman"/>
                <w:b/>
                <w:bCs/>
                <w:color w:val="auto"/>
                <w:sz w:val="21"/>
                <w:szCs w:val="21"/>
                <w:lang w:val="en-US" w:eastAsia="zh-CN"/>
              </w:rPr>
              <w:t>火灾报警装置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序号</w:t>
            </w:r>
          </w:p>
        </w:tc>
        <w:tc>
          <w:tcPr>
            <w:tcW w:w="1371"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设备位置</w:t>
            </w: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设备名称</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数量（个）</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371" w:type="pct"/>
            <w:gridSpan w:val="3"/>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甲醛装置及四周道路</w:t>
            </w: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防爆型手动火灾报警按钮</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防爆型火灾声光警报器</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371" w:type="pct"/>
            <w:gridSpan w:val="3"/>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产品仓库及四周道路</w:t>
            </w: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防爆型手动火灾报警按钮</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防爆型火灾声光报警器</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感烟探测器</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1371" w:type="pct"/>
            <w:gridSpan w:val="3"/>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控制室</w:t>
            </w: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手动火灾报警按钮</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感烟探测器</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火灾声光警报器</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火警电话</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1371" w:type="pct"/>
            <w:gridSpan w:val="3"/>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配电室</w:t>
            </w: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手动火灾报警按钮</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感烟探测器</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火灾声光警报器</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火警电话</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1371" w:type="pct"/>
            <w:gridSpan w:val="3"/>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消防泵房</w:t>
            </w: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手动火灾报警按钮</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403"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感烟探测器</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exact"/>
          <w:jc w:val="center"/>
        </w:trPr>
        <w:tc>
          <w:tcPr>
            <w:tcW w:w="403"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火灾声光警报器</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5" w:hRule="exact"/>
          <w:jc w:val="center"/>
        </w:trPr>
        <w:tc>
          <w:tcPr>
            <w:tcW w:w="403" w:type="pct"/>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cs="Times New Roman"/>
                <w:sz w:val="21"/>
                <w:szCs w:val="21"/>
              </w:rPr>
            </w:pPr>
          </w:p>
        </w:tc>
        <w:tc>
          <w:tcPr>
            <w:tcW w:w="1371"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79"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火警电话</w:t>
            </w:r>
          </w:p>
        </w:tc>
        <w:tc>
          <w:tcPr>
            <w:tcW w:w="620"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5" w:hRule="atLeast"/>
          <w:jc w:val="center"/>
        </w:trPr>
        <w:tc>
          <w:tcPr>
            <w:tcW w:w="5000" w:type="pct"/>
            <w:gridSpan w:val="10"/>
            <w:tcBorders>
              <w:tl2br w:val="nil"/>
              <w:tr2bl w:val="nil"/>
            </w:tcBorders>
            <w:noWrap w:val="0"/>
            <w:vAlign w:val="center"/>
          </w:tcPr>
          <w:p>
            <w:pPr>
              <w:pStyle w:val="67"/>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cs="Times New Roman"/>
                <w:sz w:val="21"/>
                <w:szCs w:val="21"/>
                <w:lang w:val="en-US" w:eastAsia="zh-CN"/>
              </w:rPr>
            </w:pPr>
            <w:r>
              <w:rPr>
                <w:rFonts w:hint="default" w:ascii="Times New Roman" w:hAnsi="Times New Roman" w:cs="Times New Roman"/>
                <w:b/>
                <w:bCs/>
                <w:sz w:val="21"/>
                <w:szCs w:val="21"/>
                <w:lang w:val="en-US" w:eastAsia="zh-CN"/>
              </w:rPr>
              <w:t>气体探测器配置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序号</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 置 位 置</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数 量（台）</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类  型</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  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57" w:type="pct"/>
            <w:gridSpan w:val="2"/>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甲醛装置</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可燃气体探测器（甲醇）</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催化燃烧式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1057"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有毒气体探测器（甲醛）</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电化学式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5" w:hRule="exact"/>
          <w:jc w:val="center"/>
        </w:trPr>
        <w:tc>
          <w:tcPr>
            <w:tcW w:w="717"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1057"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区域报警器</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exact"/>
          <w:jc w:val="center"/>
        </w:trPr>
        <w:tc>
          <w:tcPr>
            <w:tcW w:w="717"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1057"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区域报警器</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空压制氮机房</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氧气探测器（GT-2013）</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电化学式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甲醛罐区</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有毒气体探测器（甲醛）</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电化学式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甲醇罐区</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可燃气体探测器（甲醇）</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催化燃烧式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1057" w:type="pct"/>
            <w:gridSpan w:val="2"/>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装卸区</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有毒气体探测器（甲醛）</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电化学式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1057"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可燃气体探测器（甲醇）</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催化燃烧式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w:t>
            </w:r>
          </w:p>
        </w:tc>
        <w:tc>
          <w:tcPr>
            <w:tcW w:w="1057" w:type="pct"/>
            <w:gridSpan w:val="2"/>
            <w:vMerge w:val="restar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中控室的进风口处</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可燃气体探测器（甲醇）</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催化燃烧式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1057" w:type="pct"/>
            <w:gridSpan w:val="2"/>
            <w:vMerge w:val="continue"/>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有毒气体探测器（甲醛）</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电化学式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5000" w:type="pct"/>
            <w:gridSpan w:val="10"/>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ind w:firstLine="0" w:firstLineChars="0"/>
              <w:jc w:val="center"/>
              <w:textAlignment w:val="auto"/>
              <w:rPr>
                <w:rFonts w:hint="default" w:ascii="Times New Roman" w:hAnsi="Times New Roman" w:eastAsia="微软雅黑" w:cs="Times New Roman"/>
                <w:sz w:val="21"/>
                <w:szCs w:val="21"/>
                <w:lang w:val="en-US" w:eastAsia="zh-CN"/>
              </w:rPr>
            </w:pPr>
            <w:r>
              <w:rPr>
                <w:rFonts w:hint="default" w:ascii="Times New Roman" w:hAnsi="Times New Roman" w:cs="Times New Roman"/>
                <w:b/>
                <w:bCs/>
                <w:sz w:val="21"/>
                <w:szCs w:val="21"/>
                <w:lang w:val="en-US" w:eastAsia="zh-CN"/>
              </w:rPr>
              <w:t>淋洗器配置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序 号</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 置 位 置</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覆盖半径</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数  量（台）</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备  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甲醛装置</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15m</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排空防冻型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产品仓库</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15m</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排空防冻型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甲醛罐区</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15m</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排空防冻型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甲醇罐区</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15m</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排空防冻型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exact"/>
          <w:jc w:val="center"/>
        </w:trPr>
        <w:tc>
          <w:tcPr>
            <w:tcW w:w="717" w:type="pct"/>
            <w:gridSpan w:val="3"/>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1057"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装卸区</w:t>
            </w:r>
          </w:p>
        </w:tc>
        <w:tc>
          <w:tcPr>
            <w:tcW w:w="695"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15m</w:t>
            </w:r>
          </w:p>
        </w:tc>
        <w:tc>
          <w:tcPr>
            <w:tcW w:w="1503" w:type="pct"/>
            <w:gridSpan w:val="2"/>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025" w:type="pct"/>
            <w:tcBorders>
              <w:tl2br w:val="nil"/>
              <w:tr2bl w:val="nil"/>
            </w:tcBorders>
            <w:noWrap w:val="0"/>
            <w:vAlign w:val="center"/>
          </w:tcPr>
          <w:p>
            <w:pPr>
              <w:pStyle w:val="6"/>
              <w:keepNext w:val="0"/>
              <w:keepLines w:val="0"/>
              <w:pageBreakBefore w:val="0"/>
              <w:widowControl w:val="0"/>
              <w:kinsoku/>
              <w:wordWrap/>
              <w:overflowPunct/>
              <w:topLinePunct w:val="0"/>
              <w:autoSpaceDE/>
              <w:autoSpaceDN/>
              <w:bidi w:val="0"/>
              <w:adjustRightInd w:val="0"/>
              <w:snapToGrid w:val="0"/>
              <w:spacing w:line="240" w:lineRule="atLeast"/>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排空防冻型</w:t>
            </w:r>
          </w:p>
        </w:tc>
      </w:tr>
    </w:tbl>
    <w:p>
      <w:pPr>
        <w:pStyle w:val="5"/>
        <w:bidi w:val="0"/>
        <w:rPr>
          <w:rFonts w:hint="default" w:ascii="Times New Roman" w:hAnsi="Times New Roman" w:cs="Times New Roman"/>
          <w:color w:val="auto"/>
        </w:rPr>
      </w:pPr>
      <w:r>
        <w:rPr>
          <w:rFonts w:hint="default" w:ascii="Times New Roman" w:hAnsi="Times New Roman" w:cs="Times New Roman"/>
          <w:color w:val="auto"/>
        </w:rPr>
        <w:t>3.7.</w:t>
      </w:r>
      <w:r>
        <w:rPr>
          <w:rFonts w:hint="eastAsia" w:ascii="Times New Roman" w:hAnsi="Times New Roman" w:cs="Times New Roman"/>
          <w:color w:val="auto"/>
          <w:lang w:val="en-US" w:eastAsia="zh-CN"/>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外部救援机构</w:t>
      </w:r>
      <w:bookmarkEnd w:id="75"/>
      <w:bookmarkEnd w:id="76"/>
    </w:p>
    <w:p>
      <w:pPr>
        <w:bidi w:val="0"/>
        <w:rPr>
          <w:rFonts w:hint="default" w:ascii="Times New Roman" w:hAnsi="Times New Roman" w:cs="Times New Roman"/>
          <w:color w:val="auto"/>
        </w:rPr>
      </w:pPr>
      <w:r>
        <w:rPr>
          <w:rFonts w:hint="default" w:ascii="Times New Roman" w:hAnsi="Times New Roman" w:cs="Times New Roman"/>
          <w:color w:val="auto"/>
        </w:rPr>
        <w:t>外部救援机构均为政府职能部门、服务型机构以及周边其他单位，一旦发生突发环境事件，通过信息传递需要实施外部救援时，相关部门本着“以人为本、快速响应”的原则，有责任和义务进行应急救援。外部救援机构名单及联系方式见表3.7-</w:t>
      </w:r>
      <w:r>
        <w:rPr>
          <w:rFonts w:hint="eastAsia" w:ascii="Times New Roman" w:hAnsi="Times New Roman" w:cs="Times New Roman"/>
          <w:color w:val="auto"/>
          <w:lang w:val="en-US" w:eastAsia="zh-CN"/>
        </w:rPr>
        <w:t>4</w:t>
      </w:r>
      <w:r>
        <w:rPr>
          <w:rFonts w:hint="default" w:ascii="Times New Roman" w:hAnsi="Times New Roman" w:cs="Times New Roman"/>
          <w:color w:val="auto"/>
        </w:rPr>
        <w:t>。</w:t>
      </w:r>
    </w:p>
    <w:p>
      <w:pPr>
        <w:ind w:left="0" w:leftChars="0" w:right="0" w:rightChars="0" w:firstLine="0" w:firstLineChars="0"/>
        <w:jc w:val="cente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表3.7-</w:t>
      </w:r>
      <w:r>
        <w:rPr>
          <w:rFonts w:hint="eastAsia" w:ascii="Times New Roman" w:hAnsi="Times New Roman" w:eastAsia="黑体" w:cs="Times New Roman"/>
          <w:color w:val="auto"/>
          <w:lang w:val="en-US" w:eastAsia="zh-CN"/>
        </w:rPr>
        <w:t>4</w:t>
      </w:r>
      <w:r>
        <w:rPr>
          <w:rFonts w:hint="default" w:ascii="Times New Roman" w:hAnsi="Times New Roman" w:eastAsia="黑体" w:cs="Times New Roman"/>
          <w:color w:val="auto"/>
          <w:lang w:val="en-US" w:eastAsia="zh-CN"/>
        </w:rPr>
        <w:t xml:space="preserve"> 外部救援机构名单一览表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2547" w:type="pct"/>
            <w:tcBorders>
              <w:tl2br w:val="nil"/>
              <w:tr2bl w:val="nil"/>
            </w:tcBorders>
            <w:noWrap w:val="0"/>
            <w:vAlign w:val="top"/>
          </w:tcPr>
          <w:p>
            <w:pPr>
              <w:pStyle w:val="37"/>
              <w:bidi w:val="0"/>
              <w:rPr>
                <w:rFonts w:hint="default" w:ascii="Times New Roman" w:hAnsi="Times New Roman" w:cs="Times New Roman"/>
                <w:color w:val="auto"/>
                <w:lang w:val="en-US" w:eastAsia="zh-CN"/>
              </w:rPr>
            </w:pPr>
            <w:bookmarkStart w:id="77" w:name="_Toc3460"/>
            <w:bookmarkStart w:id="78" w:name="_Toc444522069"/>
            <w:r>
              <w:rPr>
                <w:rFonts w:hint="default" w:ascii="Times New Roman" w:hAnsi="Times New Roman" w:cs="Times New Roman"/>
                <w:color w:val="auto"/>
                <w:lang w:val="en-US" w:eastAsia="zh-CN"/>
              </w:rPr>
              <w:t>名称</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电话</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应急救援报警电话</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110、119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47" w:type="pct"/>
            <w:tcBorders>
              <w:tl2br w:val="nil"/>
              <w:tr2bl w:val="nil"/>
            </w:tcBorders>
            <w:noWrap w:val="0"/>
            <w:vAlign w:val="center"/>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枣庄市政府应急办公室</w:t>
            </w:r>
          </w:p>
        </w:tc>
        <w:tc>
          <w:tcPr>
            <w:tcW w:w="2452" w:type="pct"/>
            <w:tcBorders>
              <w:tl2br w:val="nil"/>
              <w:tr2bl w:val="nil"/>
            </w:tcBorders>
            <w:noWrap w:val="0"/>
            <w:vAlign w:val="center"/>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3329776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7" w:type="pct"/>
            <w:tcBorders>
              <w:tl2br w:val="nil"/>
              <w:tr2bl w:val="nil"/>
            </w:tcBorders>
            <w:noWrap w:val="0"/>
            <w:vAlign w:val="center"/>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枣庄市生态环境局应急办公室</w:t>
            </w:r>
          </w:p>
        </w:tc>
        <w:tc>
          <w:tcPr>
            <w:tcW w:w="2452" w:type="pct"/>
            <w:tcBorders>
              <w:tl2br w:val="nil"/>
              <w:tr2bl w:val="nil"/>
            </w:tcBorders>
            <w:noWrap w:val="0"/>
            <w:vAlign w:val="center"/>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8688018   13863296036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枣庄市应急管理局</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8685726   8685755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枣庄市生态环境局峄城分局应急办</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7711316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枣庄</w:t>
            </w:r>
            <w:r>
              <w:rPr>
                <w:rFonts w:hint="default" w:ascii="Times New Roman" w:hAnsi="Times New Roman" w:cs="Times New Roman"/>
                <w:color w:val="auto"/>
                <w:lang w:val="en-US" w:eastAsia="zh-CN"/>
              </w:rPr>
              <w:t>市</w:t>
            </w:r>
            <w:r>
              <w:rPr>
                <w:rFonts w:hint="default" w:ascii="Times New Roman" w:hAnsi="Times New Roman" w:cs="Times New Roman"/>
                <w:color w:val="auto"/>
              </w:rPr>
              <w:t>峄城区应急管理局</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7726211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枣庄</w:t>
            </w:r>
            <w:r>
              <w:rPr>
                <w:rFonts w:hint="default" w:ascii="Times New Roman" w:hAnsi="Times New Roman" w:cs="Times New Roman"/>
                <w:color w:val="auto"/>
                <w:lang w:val="en-US" w:eastAsia="zh-CN"/>
              </w:rPr>
              <w:t>市</w:t>
            </w:r>
            <w:r>
              <w:rPr>
                <w:rFonts w:hint="default" w:ascii="Times New Roman" w:hAnsi="Times New Roman" w:cs="Times New Roman"/>
                <w:color w:val="auto"/>
              </w:rPr>
              <w:t>峄城区</w:t>
            </w:r>
            <w:r>
              <w:rPr>
                <w:rFonts w:hint="default" w:ascii="Times New Roman" w:hAnsi="Times New Roman" w:cs="Times New Roman"/>
                <w:color w:val="auto"/>
                <w:lang w:val="en-US" w:eastAsia="zh-CN"/>
              </w:rPr>
              <w:t>自然资源局</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7711610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枣庄</w:t>
            </w:r>
            <w:r>
              <w:rPr>
                <w:rFonts w:hint="default" w:ascii="Times New Roman" w:hAnsi="Times New Roman" w:cs="Times New Roman"/>
                <w:color w:val="auto"/>
                <w:lang w:val="en-US" w:eastAsia="zh-CN"/>
              </w:rPr>
              <w:t>市</w:t>
            </w:r>
            <w:r>
              <w:rPr>
                <w:rFonts w:hint="default" w:ascii="Times New Roman" w:hAnsi="Times New Roman" w:cs="Times New Roman"/>
                <w:color w:val="auto"/>
              </w:rPr>
              <w:t>公安局峄城</w:t>
            </w:r>
            <w:r>
              <w:rPr>
                <w:rFonts w:hint="default" w:ascii="Times New Roman" w:hAnsi="Times New Roman" w:cs="Times New Roman"/>
                <w:color w:val="auto"/>
                <w:lang w:val="en-US" w:eastAsia="zh-CN"/>
              </w:rPr>
              <w:t>分局</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7727216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枣庄</w:t>
            </w:r>
            <w:r>
              <w:rPr>
                <w:rFonts w:hint="default" w:ascii="Times New Roman" w:hAnsi="Times New Roman" w:cs="Times New Roman"/>
                <w:color w:val="auto"/>
                <w:lang w:val="en-US" w:eastAsia="zh-CN"/>
              </w:rPr>
              <w:t>市</w:t>
            </w:r>
            <w:r>
              <w:rPr>
                <w:rFonts w:hint="default" w:ascii="Times New Roman" w:hAnsi="Times New Roman" w:cs="Times New Roman"/>
                <w:color w:val="auto"/>
              </w:rPr>
              <w:t>峄城区政府办公室</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7711401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峄城区人民医院应急办公室</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7781017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43" w:type="dxa"/>
            <w:tcBorders>
              <w:tl2br w:val="nil"/>
              <w:tr2bl w:val="nil"/>
            </w:tcBorders>
            <w:noWrap w:val="0"/>
            <w:vAlign w:val="center"/>
          </w:tcPr>
          <w:p>
            <w:pPr>
              <w:pStyle w:val="37"/>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峄城</w:t>
            </w:r>
            <w:r>
              <w:rPr>
                <w:rFonts w:hint="default" w:ascii="Times New Roman" w:hAnsi="Times New Roman" w:cs="Times New Roman"/>
                <w:color w:val="auto"/>
                <w:lang w:eastAsia="zh-CN"/>
              </w:rPr>
              <w:t>区</w:t>
            </w:r>
            <w:r>
              <w:rPr>
                <w:rFonts w:hint="default" w:ascii="Times New Roman" w:hAnsi="Times New Roman" w:cs="Times New Roman"/>
                <w:color w:val="auto"/>
                <w:lang w:val="en-US" w:eastAsia="zh-CN"/>
              </w:rPr>
              <w:t>峨山</w:t>
            </w:r>
            <w:r>
              <w:rPr>
                <w:rFonts w:hint="default" w:ascii="Times New Roman" w:hAnsi="Times New Roman" w:cs="Times New Roman"/>
                <w:color w:val="auto"/>
                <w:lang w:eastAsia="zh-CN"/>
              </w:rPr>
              <w:t>中心卫生院</w:t>
            </w:r>
          </w:p>
        </w:tc>
        <w:tc>
          <w:tcPr>
            <w:tcW w:w="4470" w:type="dxa"/>
            <w:tcBorders>
              <w:tl2br w:val="nil"/>
              <w:tr2bl w:val="nil"/>
            </w:tcBorders>
            <w:noWrap w:val="0"/>
            <w:vAlign w:val="center"/>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7811090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rPr>
              <w:t>应急救援报警电话</w:t>
            </w:r>
          </w:p>
        </w:tc>
        <w:tc>
          <w:tcPr>
            <w:tcW w:w="2452" w:type="pct"/>
            <w:tcBorders>
              <w:tl2br w:val="nil"/>
              <w:tr2bl w:val="nil"/>
            </w:tcBorders>
            <w:noWrap w:val="0"/>
            <w:vAlign w:val="top"/>
          </w:tcPr>
          <w:p>
            <w:pPr>
              <w:pStyle w:val="37"/>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5785687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643" w:type="dxa"/>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枣庄市美辰化工有限公司</w:t>
            </w:r>
          </w:p>
        </w:tc>
        <w:tc>
          <w:tcPr>
            <w:tcW w:w="4470" w:type="dxa"/>
            <w:tcBorders>
              <w:tl2br w:val="nil"/>
              <w:tr2bl w:val="nil"/>
            </w:tcBorders>
            <w:noWrap w:val="0"/>
            <w:vAlign w:val="center"/>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8079008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547"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eastAsia" w:cs="Times New Roman"/>
                <w:color w:val="auto"/>
                <w:lang w:val="en-US" w:eastAsia="zh-CN"/>
              </w:rPr>
              <w:t>三益（山东）测试科技有限公司</w:t>
            </w:r>
          </w:p>
        </w:tc>
        <w:tc>
          <w:tcPr>
            <w:tcW w:w="2452" w:type="pct"/>
            <w:tcBorders>
              <w:tl2br w:val="nil"/>
              <w:tr2bl w:val="nil"/>
            </w:tcBorders>
            <w:noWrap w:val="0"/>
            <w:vAlign w:val="top"/>
          </w:tcPr>
          <w:p>
            <w:pPr>
              <w:pStyle w:val="37"/>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5785687</w:t>
            </w:r>
          </w:p>
        </w:tc>
      </w:tr>
    </w:tbl>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ascii="Times New Roman" w:hAnsi="Times New Roman" w:cs="Times New Roman"/>
          <w:bCs/>
          <w:color w:val="000000"/>
        </w:rPr>
      </w:pPr>
      <w:r>
        <w:rPr>
          <w:rFonts w:ascii="Times New Roman" w:hAnsi="Times New Roman" w:cs="Times New Roman"/>
          <w:bCs/>
          <w:color w:val="000000"/>
          <w:sz w:val="21"/>
          <w:szCs w:val="21"/>
        </w:rPr>
        <w:t>注：若上述人员、联系方式及职位发生变更时，本表需及时更新。另本表每年需至少核对1次。</w:t>
      </w:r>
    </w:p>
    <w:p>
      <w:pPr>
        <w:pStyle w:val="28"/>
        <w:rPr>
          <w:rFonts w:hint="default" w:ascii="Times New Roman" w:hAnsi="Times New Roman" w:cs="Times New Roman"/>
          <w:color w:val="auto"/>
        </w:rPr>
      </w:pPr>
    </w:p>
    <w:p>
      <w:pPr>
        <w:rPr>
          <w:rFonts w:hint="default" w:ascii="Times New Roman" w:hAnsi="Times New Roman" w:cs="Times New Roman"/>
          <w:color w:val="auto"/>
        </w:rPr>
        <w:sectPr>
          <w:pgSz w:w="11906" w:h="16838"/>
          <w:pgMar w:top="1417" w:right="1417" w:bottom="1247" w:left="158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pPr>
    </w:p>
    <w:p>
      <w:pPr>
        <w:pStyle w:val="3"/>
        <w:bidi w:val="0"/>
        <w:rPr>
          <w:rFonts w:hint="default" w:ascii="Times New Roman" w:hAnsi="Times New Roman" w:cs="Times New Roman"/>
          <w:color w:val="auto"/>
        </w:rPr>
      </w:pPr>
      <w:bookmarkStart w:id="79" w:name="_Toc17105"/>
      <w:r>
        <w:rPr>
          <w:rFonts w:hint="default" w:ascii="Times New Roman" w:hAnsi="Times New Roman" w:cs="Times New Roman"/>
          <w:color w:val="auto"/>
        </w:rPr>
        <w:t>4 突发环境事件及其后果分析</w:t>
      </w:r>
      <w:bookmarkEnd w:id="77"/>
      <w:bookmarkEnd w:id="78"/>
      <w:bookmarkEnd w:id="79"/>
    </w:p>
    <w:p>
      <w:pPr>
        <w:pStyle w:val="4"/>
        <w:bidi w:val="0"/>
        <w:rPr>
          <w:rFonts w:hint="default" w:ascii="Times New Roman" w:hAnsi="Times New Roman" w:cs="Times New Roman"/>
          <w:color w:val="auto"/>
        </w:rPr>
      </w:pPr>
      <w:bookmarkStart w:id="80" w:name="_Toc444522070"/>
      <w:bookmarkStart w:id="81" w:name="_Toc26823"/>
      <w:bookmarkStart w:id="82" w:name="_Toc1425"/>
      <w:r>
        <w:rPr>
          <w:rFonts w:hint="default" w:ascii="Times New Roman" w:hAnsi="Times New Roman" w:cs="Times New Roman"/>
          <w:color w:val="auto"/>
          <w:lang w:val="en-US" w:eastAsia="zh-CN"/>
        </w:rPr>
        <w:t>4.1</w:t>
      </w:r>
      <w:r>
        <w:rPr>
          <w:rFonts w:hint="default" w:ascii="Times New Roman" w:hAnsi="Times New Roman" w:cs="Times New Roman"/>
          <w:color w:val="auto"/>
        </w:rPr>
        <w:t>突发环境事件</w:t>
      </w:r>
      <w:bookmarkEnd w:id="80"/>
      <w:r>
        <w:rPr>
          <w:rFonts w:hint="default" w:ascii="Times New Roman" w:hAnsi="Times New Roman" w:cs="Times New Roman"/>
          <w:color w:val="auto"/>
        </w:rPr>
        <w:t>情景分析</w:t>
      </w:r>
      <w:bookmarkEnd w:id="81"/>
      <w:bookmarkEnd w:id="82"/>
    </w:p>
    <w:p>
      <w:pPr>
        <w:bidi w:val="0"/>
        <w:rPr>
          <w:rFonts w:hint="eastAsia"/>
          <w:lang w:val="en-US" w:eastAsia="zh-CN"/>
        </w:rPr>
      </w:pPr>
      <w:bookmarkStart w:id="83" w:name="_Toc401654933"/>
      <w:r>
        <w:rPr>
          <w:rFonts w:hint="eastAsia"/>
          <w:lang w:val="en-US" w:eastAsia="zh-CN"/>
        </w:rPr>
        <w:t>突发环境事件指突然发生、造成或可能造成环境污染或生态破坏，危及人民群众生命财产安全，影响社会公共秩序，需要采取经济措施予以应对的事件公司自项目成立以来，未发生过安全环境事故，本报告根据不同事故类型列举一些企业的突发环境事件案例。</w:t>
      </w:r>
    </w:p>
    <w:p>
      <w:pPr>
        <w:pStyle w:val="5"/>
        <w:bidi w:val="0"/>
        <w:rPr>
          <w:rFonts w:hint="default" w:ascii="Times New Roman" w:hAnsi="Times New Roman" w:cs="Times New Roman"/>
          <w:color w:val="auto"/>
        </w:rPr>
      </w:pPr>
      <w:r>
        <w:rPr>
          <w:rFonts w:hint="default" w:ascii="Times New Roman" w:hAnsi="Times New Roman" w:cs="Times New Roman"/>
          <w:color w:val="auto"/>
        </w:rPr>
        <w:t>4.1.1</w:t>
      </w:r>
      <w:bookmarkEnd w:id="83"/>
      <w:r>
        <w:rPr>
          <w:rFonts w:hint="default" w:ascii="Times New Roman" w:hAnsi="Times New Roman" w:cs="Times New Roman"/>
          <w:color w:val="auto"/>
        </w:rPr>
        <w:t xml:space="preserve"> 国内外同类企业突发环境事件资料</w:t>
      </w:r>
    </w:p>
    <w:p>
      <w:pPr>
        <w:bidi w:val="0"/>
        <w:rPr>
          <w:rFonts w:hint="default" w:ascii="Times New Roman" w:hAnsi="Times New Roman" w:eastAsia="黑体" w:cs="Times New Roman"/>
          <w:bCs/>
          <w:color w:val="auto"/>
          <w:kern w:val="2"/>
          <w:sz w:val="24"/>
          <w:szCs w:val="32"/>
          <w:lang w:val="en-US" w:eastAsia="zh-CN" w:bidi="ar-SA"/>
        </w:rPr>
      </w:pPr>
      <w:r>
        <w:rPr>
          <w:rFonts w:hint="default" w:ascii="Times New Roman" w:hAnsi="Times New Roman" w:eastAsia="黑体" w:cs="Times New Roman"/>
          <w:bCs/>
          <w:color w:val="auto"/>
          <w:kern w:val="2"/>
          <w:sz w:val="24"/>
          <w:szCs w:val="32"/>
          <w:lang w:val="en-US" w:eastAsia="zh-CN" w:bidi="ar-SA"/>
        </w:rPr>
        <w:t>案例一：8·14多伦县甲醇罐爆燃事故</w:t>
      </w:r>
    </w:p>
    <w:p>
      <w:pPr>
        <w:bidi w:val="0"/>
        <w:rPr>
          <w:rFonts w:hint="eastAsia" w:ascii="Times New Roman" w:hAnsi="Times New Roman" w:eastAsia="宋体" w:cs="Times New Roman"/>
          <w:color w:val="auto"/>
          <w:lang w:eastAsia="zh-CN"/>
        </w:rPr>
      </w:pPr>
      <w:r>
        <w:rPr>
          <w:rFonts w:hint="default" w:ascii="Times New Roman" w:hAnsi="Times New Roman" w:eastAsia="宋体" w:cs="Times New Roman"/>
          <w:color w:val="auto"/>
        </w:rPr>
        <w:t>2016年8月14日上午10时左右，大唐多伦煤化工甲醇罐发生爆燃，造成一人死亡，一人失踪，一人受伤，伤者已转至张家口二五一医院。失踪者已于甲醇罐内找到，已身亡。经现场调查，初步认定，该事故是企业停产检修期间，外委施工单位在甲醇罐区作业时，因未按操作规程进行施工，导致一甲醇罐发生爆燃</w:t>
      </w:r>
      <w:r>
        <w:rPr>
          <w:rFonts w:hint="eastAsia" w:ascii="Times New Roman" w:hAnsi="Times New Roman" w:eastAsia="宋体" w:cs="Times New Roman"/>
          <w:color w:val="auto"/>
          <w:lang w:eastAsia="zh-CN"/>
        </w:rPr>
        <w:t>。</w:t>
      </w:r>
    </w:p>
    <w:p>
      <w:pPr>
        <w:bidi w:val="0"/>
        <w:rPr>
          <w:rFonts w:hint="eastAsia" w:ascii="Times New Roman" w:hAnsi="Times New Roman" w:eastAsia="宋体" w:cs="Times New Roman"/>
          <w:color w:val="auto"/>
          <w:lang w:eastAsia="zh-CN"/>
        </w:rPr>
      </w:pPr>
      <w:r>
        <w:rPr>
          <w:rFonts w:hint="default" w:ascii="Times New Roman" w:hAnsi="Times New Roman" w:eastAsia="宋体" w:cs="Times New Roman"/>
          <w:color w:val="auto"/>
        </w:rPr>
        <w:t>事故发生后，现场成立的事故处置指挥部已采取有效措施进行处置。截至2016年8月14日20:15分，罐内燃火已扑灭，并继续开展相关后续工作。已采取的有效措施包括：给爆燃罐体喷水降温；及时调集周边地区</w:t>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HYPERLINK "https://baike.baidu.com/item/%E6%B3%A1%E6%B2%AB%E6%B6%88%E9%98%B2%E8%BD%A6/10265691" \t "https://baike.baidu.com/item/8%C2%B714%E5%A4%9A%E4%BC%A6%E5%8E%BF%E7%94%B2%E9%86%87%E7%BD%90%E7%88%86%E7%87%83%E4%BA%8B%E6%95%85/_blank"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泡沫消防车</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rPr>
        <w:t>，采取泡沫灭火形式进行集中灭火；在确保现场安全前提下，组织现场技术人员和专业技工，将事故罐区周边罐内甲醇导入安全罐区；对现场人员进行疏散和警戒；及时成立事故调查组，开展事故调查处理工作。</w:t>
      </w:r>
    </w:p>
    <w:p>
      <w:pPr>
        <w:bidi w:val="0"/>
        <w:rPr>
          <w:rFonts w:hint="default" w:ascii="Times New Roman" w:hAnsi="Times New Roman" w:eastAsia="黑体" w:cs="Times New Roman"/>
          <w:bCs/>
          <w:color w:val="auto"/>
          <w:kern w:val="2"/>
          <w:sz w:val="24"/>
          <w:szCs w:val="32"/>
          <w:lang w:val="en-US" w:eastAsia="zh-CN" w:bidi="ar-SA"/>
        </w:rPr>
      </w:pPr>
      <w:r>
        <w:rPr>
          <w:rFonts w:hint="default" w:ascii="Times New Roman" w:hAnsi="Times New Roman" w:eastAsia="黑体" w:cs="Times New Roman"/>
          <w:bCs/>
          <w:color w:val="auto"/>
          <w:kern w:val="2"/>
          <w:sz w:val="24"/>
          <w:szCs w:val="32"/>
          <w:lang w:val="en-US" w:eastAsia="zh-CN" w:bidi="ar-SA"/>
        </w:rPr>
        <w:t>案例二：武汉蔡甸一15吨甲醛罐爆炸泄露</w:t>
      </w:r>
    </w:p>
    <w:p>
      <w:pPr>
        <w:bidi w:val="0"/>
        <w:rPr>
          <w:rFonts w:hint="default" w:ascii="Times New Roman" w:hAnsi="Times New Roman" w:eastAsia="宋体" w:cs="Times New Roman"/>
        </w:rPr>
      </w:pPr>
      <w:r>
        <w:rPr>
          <w:rFonts w:hint="default" w:ascii="Times New Roman" w:hAnsi="Times New Roman" w:eastAsia="宋体" w:cs="Times New Roman"/>
          <w:color w:val="auto"/>
          <w:lang w:val="en-US" w:eastAsia="zh-CN"/>
        </w:rPr>
        <w:t>2013年</w:t>
      </w:r>
      <w:r>
        <w:rPr>
          <w:rFonts w:hint="default" w:ascii="Times New Roman" w:hAnsi="Times New Roman" w:eastAsia="宋体" w:cs="Times New Roman"/>
          <w:color w:val="auto"/>
        </w:rPr>
        <w:t>8月26日7时53分，武汉市蔡甸区奓山街中豪大楼旁印刷厂附近发生甲醛泄漏事故。8时42分中队官兵到达事故现场，在距事故现场还有近500米的距离时，中队官兵就闻到一股浓烈的刺激性气</w:t>
      </w:r>
      <w:r>
        <w:rPr>
          <w:rFonts w:hint="default" w:ascii="Times New Roman" w:hAnsi="Times New Roman" w:eastAsia="宋体" w:cs="Times New Roman"/>
        </w:rPr>
        <w:t>味，指挥员当机立断，下达命令停车，并根据危险等级划分警戒区域，设立警戒线，疏散无关人员，同时命令所有进入危险区域的战斗员着重型防化服。特勤班组成侦查小组，进入厂区内部搜救被困人员，确定泄漏点位置。</w:t>
      </w:r>
    </w:p>
    <w:p>
      <w:pPr>
        <w:bidi w:val="0"/>
        <w:rPr>
          <w:rFonts w:hint="default" w:ascii="Times New Roman" w:hAnsi="Times New Roman" w:cs="Times New Roman"/>
          <w:color w:val="auto"/>
          <w:lang w:val="en-US" w:eastAsia="zh-CN"/>
        </w:rPr>
      </w:pPr>
      <w:r>
        <w:rPr>
          <w:rFonts w:hint="default" w:ascii="Times New Roman" w:hAnsi="Times New Roman" w:eastAsia="宋体" w:cs="Times New Roman"/>
        </w:rPr>
        <w:t>经过现场侦查和询问相关负责人得知，厂区内的工作人员已经全部撤离，泄漏点位于厂区西南角的一个大约有15吨甲醛的立式储罐阀门处，甲醛溶液正在大量泄漏。同时，与泄漏储罐相邻的一个印刷厂正在进行正常作业，场内员工约200人，需要立即疏散。中队指挥员根据现场情况，</w:t>
      </w:r>
      <w:r>
        <w:rPr>
          <w:rFonts w:hint="default" w:ascii="Times New Roman" w:hAnsi="Times New Roman" w:eastAsia="宋体" w:cs="Times New Roman"/>
          <w:lang w:val="en-US" w:eastAsia="zh-CN"/>
        </w:rPr>
        <w:t>对</w:t>
      </w:r>
      <w:r>
        <w:rPr>
          <w:rFonts w:hint="default" w:ascii="Times New Roman" w:hAnsi="Times New Roman" w:eastAsia="宋体" w:cs="Times New Roman"/>
        </w:rPr>
        <w:t>厂区泄漏区域对储罐进行堵漏和稀释，</w:t>
      </w:r>
      <w:r>
        <w:rPr>
          <w:rFonts w:hint="default" w:ascii="Times New Roman" w:hAnsi="Times New Roman" w:eastAsia="宋体" w:cs="Times New Roman"/>
          <w:lang w:val="en-US" w:eastAsia="zh-CN"/>
        </w:rPr>
        <w:t>并组织人员</w:t>
      </w:r>
      <w:r>
        <w:rPr>
          <w:rFonts w:hint="default" w:ascii="Times New Roman" w:hAnsi="Times New Roman" w:eastAsia="宋体" w:cs="Times New Roman"/>
        </w:rPr>
        <w:t>对印刷厂内的工作人员进行疏散，同时保证现场供水不间断。20分钟后，泄漏罐体突然发生变形，出现爆炸迹象，正在组织堵漏和稀释的现场指挥员马上下达撤离的命令，大约1分钟后，15吨甲醛罐体发生爆炸，大量甲醛向四周喷涌而出，并快速向四周流淌蔓延。再次</w:t>
      </w:r>
      <w:r>
        <w:rPr>
          <w:rFonts w:hint="default" w:ascii="Times New Roman" w:hAnsi="Times New Roman" w:eastAsia="宋体" w:cs="Times New Roman"/>
          <w:lang w:val="en-US" w:eastAsia="zh-CN"/>
        </w:rPr>
        <w:t>组织人员</w:t>
      </w:r>
      <w:r>
        <w:rPr>
          <w:rFonts w:hint="default" w:ascii="Times New Roman" w:hAnsi="Times New Roman" w:eastAsia="宋体" w:cs="Times New Roman"/>
        </w:rPr>
        <w:t>进入事故区域对剩余甲醛进行稀释，同时运来沙土筑成约30公分高的防护堤，防止甲醛进一步向四周扩散蔓延。经过近两个小时的处置，中队官兵将险情成功排除，随后做好现场交接工作后返回</w:t>
      </w:r>
      <w:r>
        <w:rPr>
          <w:rFonts w:hint="default" w:ascii="Times New Roman" w:hAnsi="Times New Roman" w:cs="Times New Roman"/>
          <w:color w:val="auto"/>
          <w:lang w:val="en-US" w:eastAsia="zh-CN"/>
        </w:rPr>
        <w:t>。</w:t>
      </w:r>
    </w:p>
    <w:p>
      <w:pPr>
        <w:pStyle w:val="5"/>
        <w:bidi w:val="0"/>
        <w:rPr>
          <w:rFonts w:hint="default" w:ascii="Times New Roman" w:hAnsi="Times New Roman" w:cs="Times New Roman"/>
          <w:color w:val="auto"/>
        </w:rPr>
      </w:pPr>
      <w:r>
        <w:rPr>
          <w:rFonts w:hint="default" w:ascii="Times New Roman" w:hAnsi="Times New Roman" w:cs="Times New Roman"/>
          <w:color w:val="auto"/>
        </w:rPr>
        <w:t>4.1.2 突发环境事件情景分析</w:t>
      </w:r>
    </w:p>
    <w:p>
      <w:pPr>
        <w:bidi w:val="0"/>
        <w:rPr>
          <w:rFonts w:hint="default" w:ascii="Times New Roman" w:hAnsi="Times New Roman" w:cs="Times New Roman"/>
          <w:color w:val="auto"/>
        </w:rPr>
      </w:pPr>
      <w:bookmarkStart w:id="84" w:name="_Toc404954431"/>
      <w:bookmarkStart w:id="85" w:name="_Toc404253896"/>
      <w:bookmarkStart w:id="86" w:name="_Toc404176646"/>
      <w:r>
        <w:rPr>
          <w:rFonts w:hint="default" w:ascii="Times New Roman" w:hAnsi="Times New Roman" w:cs="Times New Roman"/>
          <w:color w:val="auto"/>
        </w:rPr>
        <w:t>本企业可能发生的突发环境事件类型见表4.1-1。</w:t>
      </w:r>
    </w:p>
    <w:p>
      <w:pPr>
        <w:pStyle w:val="36"/>
        <w:bidi w:val="0"/>
        <w:rPr>
          <w:rFonts w:hint="default" w:ascii="Times New Roman" w:hAnsi="Times New Roman" w:cs="Times New Roman"/>
          <w:color w:val="auto"/>
        </w:rPr>
      </w:pPr>
      <w:r>
        <w:rPr>
          <w:rFonts w:hint="default" w:ascii="Times New Roman" w:hAnsi="Times New Roman" w:cs="Times New Roman"/>
          <w:color w:val="auto"/>
        </w:rPr>
        <w:t>表4.1-1 突发环境事件情景分析</w:t>
      </w:r>
    </w:p>
    <w:bookmarkEnd w:id="84"/>
    <w:bookmarkEnd w:id="85"/>
    <w:bookmarkEnd w:id="86"/>
    <w:tbl>
      <w:tblPr>
        <w:tblStyle w:val="2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135"/>
        <w:gridCol w:w="3915"/>
        <w:gridCol w:w="1245"/>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1"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cs="Times New Roman"/>
                <w:color w:val="auto"/>
              </w:rPr>
            </w:pPr>
            <w:bookmarkStart w:id="87" w:name="_Toc397674759"/>
            <w:bookmarkStart w:id="88" w:name="_Toc444522071"/>
            <w:bookmarkStart w:id="89" w:name="_Toc404954436"/>
            <w:bookmarkStart w:id="90" w:name="_Toc404176651"/>
            <w:r>
              <w:rPr>
                <w:rFonts w:hint="default" w:ascii="Times New Roman" w:hAnsi="Times New Roman" w:cs="Times New Roman"/>
                <w:color w:val="auto"/>
              </w:rPr>
              <w:t>序号</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突发环境事件类型</w:t>
            </w:r>
          </w:p>
        </w:tc>
        <w:tc>
          <w:tcPr>
            <w:tcW w:w="3915" w:type="dxa"/>
            <w:tcBorders>
              <w:top w:val="single" w:color="auto" w:sz="4" w:space="0"/>
              <w:left w:val="single" w:color="auto" w:sz="4" w:space="0"/>
              <w:bottom w:val="single" w:color="auto" w:sz="4" w:space="0"/>
              <w:right w:val="single" w:color="auto" w:sz="4" w:space="0"/>
            </w:tcBorders>
            <w:noWrap w:val="0"/>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szCs w:val="21"/>
              </w:rPr>
              <w:t>突发环境事件情景</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szCs w:val="21"/>
              </w:rPr>
              <w:t>风险物质</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影响类型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1"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1</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危险化学品</w:t>
            </w:r>
            <w:r>
              <w:rPr>
                <w:rFonts w:hint="default" w:ascii="Times New Roman" w:hAnsi="Times New Roman" w:cs="Times New Roman"/>
                <w:color w:val="auto"/>
              </w:rPr>
              <w:t>泄漏事件</w:t>
            </w:r>
          </w:p>
        </w:tc>
        <w:tc>
          <w:tcPr>
            <w:tcW w:w="3915"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甲醇、甲醛储罐区、装卸区及生产区因操作失误、管道阀门损坏等原因</w:t>
            </w:r>
            <w:r>
              <w:rPr>
                <w:rFonts w:hint="default" w:ascii="Times New Roman" w:hAnsi="Times New Roman" w:cs="Times New Roman"/>
                <w:color w:val="auto"/>
              </w:rPr>
              <w:t>泄漏事件发生</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污染大气环境、使人中毒或伤亡</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甲醇、甲醛</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大气环境</w:t>
            </w:r>
          </w:p>
          <w:p>
            <w:pPr>
              <w:pStyle w:val="6"/>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水环境</w:t>
            </w:r>
          </w:p>
          <w:p>
            <w:pPr>
              <w:pStyle w:val="6"/>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21" w:type="dxa"/>
            <w:vMerge w:val="restart"/>
            <w:tcBorders>
              <w:top w:val="single" w:color="auto" w:sz="4" w:space="0"/>
              <w:left w:val="single" w:color="auto" w:sz="4" w:space="0"/>
              <w:right w:val="single" w:color="auto" w:sz="4" w:space="0"/>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2</w:t>
            </w:r>
          </w:p>
        </w:tc>
        <w:tc>
          <w:tcPr>
            <w:tcW w:w="2135" w:type="dxa"/>
            <w:vMerge w:val="restart"/>
            <w:tcBorders>
              <w:top w:val="single" w:color="auto" w:sz="4" w:space="0"/>
              <w:left w:val="single" w:color="auto" w:sz="4" w:space="0"/>
              <w:right w:val="single" w:color="auto" w:sz="4" w:space="0"/>
            </w:tcBorders>
            <w:noWrap w:val="0"/>
            <w:vAlign w:val="center"/>
          </w:tcPr>
          <w:p>
            <w:pPr>
              <w:pStyle w:val="6"/>
              <w:bidi w:val="0"/>
              <w:ind w:firstLine="0" w:firstLineChars="0"/>
              <w:rPr>
                <w:rFonts w:hint="default" w:ascii="Times New Roman" w:hAnsi="Times New Roman" w:eastAsia="宋体" w:cs="Times New Roman"/>
                <w:bCs/>
                <w:color w:val="auto"/>
                <w:kern w:val="2"/>
                <w:sz w:val="21"/>
                <w:szCs w:val="28"/>
                <w:lang w:val="en-US" w:eastAsia="zh-CN" w:bidi="ar-SA"/>
              </w:rPr>
            </w:pPr>
            <w:r>
              <w:rPr>
                <w:rFonts w:hint="default" w:ascii="Times New Roman" w:hAnsi="Times New Roman" w:cs="Times New Roman"/>
                <w:color w:val="auto"/>
                <w:szCs w:val="21"/>
              </w:rPr>
              <w:t>火灾爆炸次生污染</w:t>
            </w:r>
          </w:p>
        </w:tc>
        <w:tc>
          <w:tcPr>
            <w:tcW w:w="3915" w:type="dxa"/>
            <w:tcBorders>
              <w:top w:val="single" w:color="auto" w:sz="4" w:space="0"/>
              <w:left w:val="single" w:color="auto" w:sz="4" w:space="0"/>
              <w:bottom w:val="single" w:color="auto" w:sz="4" w:space="0"/>
              <w:right w:val="single" w:color="auto" w:sz="4" w:space="0"/>
            </w:tcBorders>
            <w:noWrap w:val="0"/>
            <w:vAlign w:val="center"/>
          </w:tcPr>
          <w:p>
            <w:pPr>
              <w:pStyle w:val="6"/>
              <w:bidi w:val="0"/>
              <w:ind w:firstLine="0" w:firstLineChars="0"/>
              <w:rPr>
                <w:rFonts w:hint="default" w:ascii="Times New Roman" w:hAnsi="Times New Roman" w:eastAsia="宋体" w:cs="Times New Roman"/>
                <w:bCs/>
                <w:color w:val="auto"/>
                <w:kern w:val="2"/>
                <w:sz w:val="21"/>
                <w:szCs w:val="28"/>
                <w:lang w:val="en-US" w:eastAsia="zh-CN" w:bidi="ar-SA"/>
              </w:rPr>
            </w:pPr>
            <w:r>
              <w:rPr>
                <w:rFonts w:hint="default" w:ascii="Times New Roman" w:hAnsi="Times New Roman" w:eastAsia="宋体" w:cs="Times New Roman"/>
                <w:color w:val="auto"/>
              </w:rPr>
              <w:t>泄漏的</w:t>
            </w:r>
            <w:r>
              <w:rPr>
                <w:rFonts w:hint="default" w:ascii="Times New Roman" w:hAnsi="Times New Roman" w:eastAsia="宋体" w:cs="Times New Roman"/>
                <w:color w:val="auto"/>
                <w:lang w:val="en-US" w:eastAsia="zh-CN"/>
              </w:rPr>
              <w:t>甲醇、</w:t>
            </w:r>
            <w:r>
              <w:rPr>
                <w:rFonts w:hint="default" w:ascii="Times New Roman" w:hAnsi="Times New Roman" w:eastAsia="宋体" w:cs="Times New Roman"/>
                <w:color w:val="auto"/>
              </w:rPr>
              <w:t>甲醛遇到明火或电火花发生火灾产生燃烧废气（CO）、</w:t>
            </w:r>
            <w:r>
              <w:rPr>
                <w:rFonts w:hint="default" w:ascii="Times New Roman" w:hAnsi="Times New Roman" w:cs="Times New Roman"/>
                <w:color w:val="000000"/>
              </w:rPr>
              <w:t>储罐若遇高热，容器内压增大</w:t>
            </w:r>
            <w:r>
              <w:rPr>
                <w:rFonts w:hint="default" w:ascii="Times New Roman" w:hAnsi="Times New Roman" w:cs="Times New Roman"/>
                <w:color w:val="000000"/>
                <w:lang w:val="en-US" w:eastAsia="zh-CN"/>
              </w:rPr>
              <w:t>发生</w:t>
            </w:r>
            <w:r>
              <w:rPr>
                <w:rFonts w:hint="default" w:ascii="Times New Roman" w:hAnsi="Times New Roman" w:cs="Times New Roman"/>
                <w:color w:val="000000"/>
              </w:rPr>
              <w:t>开裂和爆炸</w:t>
            </w:r>
            <w:r>
              <w:rPr>
                <w:rFonts w:hint="default" w:ascii="Times New Roman" w:hAnsi="Times New Roman" w:cs="Times New Roman"/>
                <w:color w:val="000000"/>
                <w:lang w:val="en-US" w:eastAsia="zh-CN"/>
              </w:rPr>
              <w:t>时间，</w:t>
            </w:r>
            <w:r>
              <w:rPr>
                <w:rFonts w:hint="default" w:ascii="Times New Roman" w:hAnsi="Times New Roman" w:eastAsia="宋体" w:cs="Times New Roman"/>
                <w:color w:val="auto"/>
              </w:rPr>
              <w:t>消防废水污染周边环境</w:t>
            </w:r>
            <w:r>
              <w:rPr>
                <w:rFonts w:hint="default" w:ascii="Times New Roman" w:hAnsi="Times New Roman" w:eastAsia="宋体" w:cs="Times New Roman"/>
                <w:color w:val="auto"/>
                <w:lang w:eastAsia="zh-CN"/>
              </w:rPr>
              <w:t>；</w:t>
            </w:r>
          </w:p>
        </w:tc>
        <w:tc>
          <w:tcPr>
            <w:tcW w:w="1245" w:type="dxa"/>
            <w:vMerge w:val="restart"/>
            <w:tcBorders>
              <w:top w:val="single" w:color="auto" w:sz="4" w:space="0"/>
              <w:left w:val="single" w:color="auto" w:sz="4" w:space="0"/>
              <w:right w:val="single" w:color="auto" w:sz="4" w:space="0"/>
            </w:tcBorders>
            <w:noWrap w:val="0"/>
            <w:vAlign w:val="center"/>
          </w:tcPr>
          <w:p>
            <w:pPr>
              <w:pStyle w:val="6"/>
              <w:bidi w:val="0"/>
              <w:ind w:firstLine="0" w:firstLineChars="0"/>
              <w:rPr>
                <w:rFonts w:hint="eastAsia" w:ascii="Times New Roman" w:hAnsi="Times New Roman" w:eastAsia="宋体" w:cs="Times New Roman"/>
                <w:color w:val="auto"/>
                <w:lang w:eastAsia="zh-CN"/>
              </w:rPr>
            </w:pPr>
            <w:r>
              <w:rPr>
                <w:rFonts w:hint="default" w:ascii="Times New Roman" w:hAnsi="Times New Roman" w:cs="Times New Roman"/>
                <w:color w:val="auto"/>
                <w:szCs w:val="21"/>
              </w:rPr>
              <w:t>CO</w:t>
            </w:r>
            <w:r>
              <w:rPr>
                <w:rFonts w:hint="eastAsia"/>
                <w:lang w:eastAsia="zh-CN"/>
              </w:rPr>
              <w:t>、</w:t>
            </w:r>
            <w:r>
              <w:rPr>
                <w:rFonts w:hint="default" w:ascii="Times New Roman" w:hAnsi="Times New Roman" w:cs="Times New Roman"/>
                <w:color w:val="auto"/>
                <w:lang w:val="en-US" w:eastAsia="zh-CN"/>
              </w:rPr>
              <w:t>甲醇、甲醛</w:t>
            </w:r>
          </w:p>
        </w:tc>
        <w:tc>
          <w:tcPr>
            <w:tcW w:w="1270" w:type="dxa"/>
            <w:vMerge w:val="restart"/>
            <w:tcBorders>
              <w:top w:val="single" w:color="auto" w:sz="4" w:space="0"/>
              <w:left w:val="single" w:color="auto" w:sz="4" w:space="0"/>
              <w:right w:val="single" w:color="auto" w:sz="4" w:space="0"/>
            </w:tcBorders>
            <w:noWrap w:val="0"/>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大气环境</w:t>
            </w:r>
          </w:p>
          <w:p>
            <w:pPr>
              <w:pStyle w:val="6"/>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水环境</w:t>
            </w:r>
          </w:p>
          <w:p>
            <w:pPr>
              <w:pStyle w:val="6"/>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21" w:type="dxa"/>
            <w:vMerge w:val="continue"/>
            <w:tcBorders>
              <w:left w:val="single" w:color="auto" w:sz="4" w:space="0"/>
              <w:bottom w:val="single" w:color="auto" w:sz="4" w:space="0"/>
              <w:right w:val="single" w:color="auto" w:sz="4" w:space="0"/>
            </w:tcBorders>
            <w:noWrap w:val="0"/>
            <w:vAlign w:val="center"/>
          </w:tcPr>
          <w:p>
            <w:pPr>
              <w:pStyle w:val="6"/>
              <w:bidi w:val="0"/>
              <w:ind w:firstLine="0" w:firstLineChars="0"/>
              <w:rPr>
                <w:rFonts w:hint="default" w:ascii="Times New Roman" w:hAnsi="Times New Roman" w:cs="Times New Roman"/>
              </w:rPr>
            </w:pPr>
          </w:p>
        </w:tc>
        <w:tc>
          <w:tcPr>
            <w:tcW w:w="2135" w:type="dxa"/>
            <w:vMerge w:val="continue"/>
            <w:tcBorders>
              <w:left w:val="single" w:color="auto" w:sz="4" w:space="0"/>
              <w:bottom w:val="single" w:color="auto" w:sz="4" w:space="0"/>
              <w:right w:val="single" w:color="auto" w:sz="4" w:space="0"/>
            </w:tcBorders>
            <w:noWrap w:val="0"/>
            <w:vAlign w:val="center"/>
          </w:tcPr>
          <w:p>
            <w:pPr>
              <w:pStyle w:val="6"/>
              <w:bidi w:val="0"/>
              <w:ind w:firstLine="0" w:firstLineChars="0"/>
              <w:rPr>
                <w:rFonts w:hint="default" w:ascii="Times New Roman" w:hAnsi="Times New Roman" w:cs="Times New Roman"/>
              </w:rPr>
            </w:pPr>
          </w:p>
        </w:tc>
        <w:tc>
          <w:tcPr>
            <w:tcW w:w="3915" w:type="dxa"/>
            <w:tcBorders>
              <w:top w:val="single" w:color="auto" w:sz="4" w:space="0"/>
              <w:left w:val="single" w:color="auto" w:sz="4" w:space="0"/>
              <w:bottom w:val="single" w:color="auto" w:sz="4" w:space="0"/>
              <w:right w:val="single" w:color="auto" w:sz="4" w:space="0"/>
            </w:tcBorders>
            <w:noWrap w:val="0"/>
            <w:vAlign w:val="center"/>
          </w:tcPr>
          <w:p>
            <w:pPr>
              <w:pStyle w:val="6"/>
              <w:bidi w:val="0"/>
              <w:ind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电</w:t>
            </w:r>
            <w:r>
              <w:rPr>
                <w:rFonts w:hint="default" w:ascii="Times New Roman" w:hAnsi="Times New Roman" w:cs="Times New Roman"/>
                <w:color w:val="auto"/>
              </w:rPr>
              <w:t>气电缆由于短路、过载等发生火灾、爆炸事件，产生消防废水</w:t>
            </w:r>
          </w:p>
        </w:tc>
        <w:tc>
          <w:tcPr>
            <w:tcW w:w="1245" w:type="dxa"/>
            <w:vMerge w:val="continue"/>
            <w:tcBorders>
              <w:left w:val="single" w:color="auto" w:sz="4" w:space="0"/>
              <w:bottom w:val="single" w:color="auto" w:sz="4" w:space="0"/>
              <w:right w:val="single" w:color="auto" w:sz="4" w:space="0"/>
            </w:tcBorders>
            <w:noWrap w:val="0"/>
            <w:vAlign w:val="center"/>
          </w:tcPr>
          <w:p>
            <w:pPr>
              <w:pStyle w:val="6"/>
              <w:bidi w:val="0"/>
              <w:ind w:firstLine="0" w:firstLineChars="0"/>
              <w:rPr>
                <w:rFonts w:hint="default" w:ascii="Times New Roman" w:hAnsi="Times New Roman" w:eastAsia="宋体" w:cs="Times New Roman"/>
                <w:color w:val="auto"/>
              </w:rPr>
            </w:pPr>
          </w:p>
        </w:tc>
        <w:tc>
          <w:tcPr>
            <w:tcW w:w="1270" w:type="dxa"/>
            <w:vMerge w:val="continue"/>
            <w:tcBorders>
              <w:left w:val="single" w:color="auto" w:sz="4" w:space="0"/>
              <w:bottom w:val="single" w:color="auto" w:sz="4" w:space="0"/>
              <w:right w:val="single" w:color="auto" w:sz="4" w:space="0"/>
            </w:tcBorders>
            <w:noWrap w:val="0"/>
            <w:vAlign w:val="center"/>
          </w:tcPr>
          <w:p>
            <w:pPr>
              <w:pStyle w:val="6"/>
              <w:bidi w:val="0"/>
              <w:ind w:firstLine="0" w:firstLineChars="0"/>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21" w:type="dxa"/>
            <w:tcBorders>
              <w:top w:val="single" w:color="auto" w:sz="4" w:space="0"/>
              <w:left w:val="single" w:color="auto" w:sz="4" w:space="0"/>
              <w:bottom w:val="single" w:color="auto" w:sz="4" w:space="0"/>
              <w:right w:val="single" w:color="auto" w:sz="4" w:space="0"/>
            </w:tcBorders>
            <w:noWrap w:val="0"/>
            <w:vAlign w:val="center"/>
          </w:tcPr>
          <w:p>
            <w:pPr>
              <w:pStyle w:val="6"/>
              <w:bidi w:val="0"/>
              <w:ind w:firstLine="0" w:firstLineChars="0"/>
              <w:rPr>
                <w:rFonts w:hint="default" w:ascii="Times New Roman" w:hAnsi="Times New Roman" w:eastAsia="宋体" w:cs="Times New Roman"/>
                <w:bCs/>
                <w:color w:val="auto"/>
                <w:kern w:val="2"/>
                <w:sz w:val="21"/>
                <w:szCs w:val="28"/>
                <w:lang w:val="en-US" w:eastAsia="zh-CN" w:bidi="ar-SA"/>
              </w:rPr>
            </w:pPr>
            <w:r>
              <w:rPr>
                <w:rFonts w:hint="default" w:ascii="Times New Roman" w:hAnsi="Times New Roman" w:cs="Times New Roman"/>
                <w:color w:val="auto"/>
              </w:rPr>
              <w:t>3</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eastAsia="宋体" w:cs="Times New Roman"/>
                <w:bCs/>
                <w:color w:val="auto"/>
                <w:kern w:val="2"/>
                <w:sz w:val="21"/>
                <w:szCs w:val="28"/>
                <w:lang w:val="en-US" w:eastAsia="zh-CN" w:bidi="ar-SA"/>
              </w:rPr>
            </w:pPr>
            <w:r>
              <w:rPr>
                <w:rFonts w:hint="default" w:ascii="Times New Roman" w:hAnsi="Times New Roman" w:cs="Times New Roman"/>
                <w:color w:val="auto"/>
                <w:lang w:val="en-US" w:eastAsia="zh-CN"/>
              </w:rPr>
              <w:t>污染治理设施非正常运行</w:t>
            </w:r>
          </w:p>
        </w:tc>
        <w:tc>
          <w:tcPr>
            <w:tcW w:w="3915"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eastAsia="宋体" w:cs="Times New Roman"/>
                <w:bCs/>
                <w:color w:val="auto"/>
                <w:kern w:val="2"/>
                <w:sz w:val="21"/>
                <w:szCs w:val="28"/>
                <w:lang w:val="en-US" w:eastAsia="zh-CN" w:bidi="ar-SA"/>
              </w:rPr>
            </w:pPr>
            <w:r>
              <w:rPr>
                <w:rFonts w:hint="default" w:ascii="Times New Roman" w:hAnsi="Times New Roman" w:cs="Times New Roman"/>
                <w:color w:val="auto"/>
                <w:lang w:val="en-US" w:eastAsia="zh-CN"/>
              </w:rPr>
              <w:t>废气、废水处理设施非正常运行，导致废气、废水超标排放</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甲醇、甲醛</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大气环境</w:t>
            </w:r>
          </w:p>
          <w:p>
            <w:pPr>
              <w:pStyle w:val="6"/>
              <w:bidi w:val="0"/>
              <w:rPr>
                <w:rFonts w:hint="default" w:ascii="Times New Roman" w:hAnsi="Times New Roman" w:eastAsia="宋体" w:cs="Times New Roman"/>
                <w:bCs/>
                <w:color w:val="auto"/>
                <w:kern w:val="2"/>
                <w:sz w:val="21"/>
                <w:szCs w:val="28"/>
                <w:lang w:val="en-US" w:eastAsia="zh-CN" w:bidi="ar-SA"/>
              </w:rPr>
            </w:pPr>
            <w:r>
              <w:rPr>
                <w:rFonts w:hint="default" w:ascii="Times New Roman" w:hAnsi="Times New Roman" w:cs="Times New Roman"/>
                <w:color w:val="auto"/>
              </w:rPr>
              <w:t>水环境</w:t>
            </w:r>
          </w:p>
        </w:tc>
      </w:tr>
    </w:tbl>
    <w:p>
      <w:pPr>
        <w:pStyle w:val="4"/>
        <w:bidi w:val="0"/>
        <w:rPr>
          <w:rFonts w:hint="default" w:ascii="Times New Roman" w:hAnsi="Times New Roman" w:cs="Times New Roman"/>
          <w:color w:val="auto"/>
        </w:rPr>
      </w:pPr>
      <w:bookmarkStart w:id="91" w:name="_Toc26166"/>
      <w:bookmarkStart w:id="92" w:name="_Toc19291"/>
      <w:r>
        <w:rPr>
          <w:rFonts w:hint="default" w:ascii="Times New Roman" w:hAnsi="Times New Roman" w:cs="Times New Roman"/>
          <w:color w:val="auto"/>
        </w:rPr>
        <w:t>4.2 突发环境事件情景源强分析</w:t>
      </w:r>
      <w:bookmarkEnd w:id="87"/>
      <w:bookmarkEnd w:id="88"/>
      <w:bookmarkEnd w:id="89"/>
      <w:bookmarkEnd w:id="90"/>
      <w:bookmarkEnd w:id="91"/>
      <w:bookmarkEnd w:id="92"/>
    </w:p>
    <w:p>
      <w:pPr>
        <w:pStyle w:val="5"/>
        <w:bidi w:val="0"/>
        <w:rPr>
          <w:rFonts w:hint="default" w:ascii="Times New Roman" w:hAnsi="Times New Roman" w:cs="Times New Roman"/>
          <w:color w:val="auto"/>
        </w:rPr>
      </w:pPr>
      <w:r>
        <w:rPr>
          <w:rFonts w:hint="default" w:ascii="Times New Roman" w:hAnsi="Times New Roman" w:cs="Times New Roman"/>
          <w:color w:val="auto"/>
        </w:rPr>
        <w:t>4.2.1</w:t>
      </w:r>
      <w:r>
        <w:rPr>
          <w:rFonts w:hint="default" w:ascii="Times New Roman" w:hAnsi="Times New Roman" w:cs="Times New Roman"/>
          <w:color w:val="auto"/>
          <w:szCs w:val="24"/>
        </w:rPr>
        <w:t>危险化学品泄漏事件源强估算</w:t>
      </w:r>
    </w:p>
    <w:p>
      <w:pPr>
        <w:bidi w:val="0"/>
        <w:rPr>
          <w:rFonts w:hint="default" w:ascii="Times New Roman" w:hAnsi="Times New Roman" w:eastAsia="黑体" w:cs="Times New Roman"/>
          <w:bCs/>
          <w:color w:val="auto"/>
          <w:kern w:val="2"/>
          <w:sz w:val="24"/>
          <w:szCs w:val="24"/>
          <w:lang w:val="en-US" w:eastAsia="zh-CN" w:bidi="ar-SA"/>
        </w:rPr>
      </w:pPr>
      <w:r>
        <w:rPr>
          <w:rFonts w:hint="default" w:ascii="Times New Roman" w:hAnsi="Times New Roman" w:eastAsia="黑体" w:cs="Times New Roman"/>
          <w:bCs/>
          <w:color w:val="auto"/>
          <w:kern w:val="2"/>
          <w:sz w:val="24"/>
          <w:szCs w:val="24"/>
          <w:lang w:val="en-US" w:eastAsia="zh-CN" w:bidi="ar-SA"/>
        </w:rPr>
        <w:t>1、危险化学品泄漏事件源强估算</w:t>
      </w:r>
    </w:p>
    <w:p>
      <w:pPr>
        <w:ind w:firstLine="480"/>
        <w:rPr>
          <w:rFonts w:hint="default" w:ascii="Times New Roman" w:hAnsi="Times New Roman" w:cs="Times New Roman"/>
          <w:color w:val="auto"/>
        </w:rPr>
      </w:pPr>
      <w:r>
        <w:rPr>
          <w:rFonts w:hint="default" w:ascii="Times New Roman" w:hAnsi="Times New Roman" w:cs="Times New Roman"/>
          <w:color w:val="auto"/>
        </w:rPr>
        <w:t>(1) 泄漏量计算</w:t>
      </w:r>
    </w:p>
    <w:p>
      <w:pPr>
        <w:bidi w:val="0"/>
        <w:rPr>
          <w:rFonts w:hint="default" w:ascii="Times New Roman" w:hAnsi="Times New Roman" w:cs="Times New Roman"/>
        </w:rPr>
      </w:pPr>
      <w:r>
        <w:rPr>
          <w:rFonts w:hint="default" w:ascii="Times New Roman" w:hAnsi="Times New Roman" w:cs="Times New Roman"/>
          <w:color w:val="auto"/>
        </w:rPr>
        <w:t>对于液体储罐，罐体比较均匀，发生整个容器破裂而泄漏的可能性很小，泄漏事故发生概率最大的地方是容器或输送管道的接头处。本次评价设定泄漏发生在接头处，裂口尺寸取管径的100%，为0.02m；事故发生后在10min内泄漏得到控制。</w:t>
      </w:r>
    </w:p>
    <w:p>
      <w:pPr>
        <w:tabs>
          <w:tab w:val="left" w:pos="1995"/>
        </w:tabs>
        <w:spacing w:line="360" w:lineRule="auto"/>
        <w:ind w:firstLine="505"/>
        <w:rPr>
          <w:rFonts w:hint="default" w:ascii="Times New Roman" w:hAnsi="Times New Roman" w:cs="Times New Roman"/>
          <w:sz w:val="24"/>
        </w:rPr>
      </w:pPr>
      <w:r>
        <w:rPr>
          <w:rFonts w:hint="default" w:ascii="Times New Roman" w:hAnsi="Times New Roman" w:cs="Times New Roman"/>
          <w:sz w:val="24"/>
          <w:szCs w:val="24"/>
        </w:rPr>
        <w:t>泄漏速率采用《建设项目环境风险评价导则》（HJ</w:t>
      </w:r>
      <w:r>
        <w:rPr>
          <w:rFonts w:hint="eastAsia" w:cs="Times New Roman"/>
          <w:sz w:val="24"/>
          <w:szCs w:val="24"/>
          <w:lang w:val="en-US" w:eastAsia="zh-CN"/>
        </w:rPr>
        <w:t xml:space="preserve"> </w:t>
      </w:r>
      <w:r>
        <w:rPr>
          <w:rFonts w:hint="default" w:ascii="Times New Roman" w:hAnsi="Times New Roman" w:cs="Times New Roman"/>
          <w:sz w:val="24"/>
          <w:szCs w:val="24"/>
        </w:rPr>
        <w:t>169-2018）附录F中推荐的液体泄漏速率计算公式进行估算，公式如下</w:t>
      </w:r>
      <w:r>
        <w:rPr>
          <w:rFonts w:hint="default" w:ascii="Times New Roman" w:hAnsi="Times New Roman" w:cs="Times New Roman"/>
          <w:sz w:val="24"/>
        </w:rPr>
        <w:t>：</w:t>
      </w:r>
    </w:p>
    <w:p>
      <w:pPr>
        <w:tabs>
          <w:tab w:val="left" w:pos="1995"/>
        </w:tabs>
        <w:spacing w:line="360" w:lineRule="auto"/>
        <w:ind w:firstLine="505"/>
        <w:rPr>
          <w:rFonts w:hint="default" w:ascii="Times New Roman" w:hAnsi="Times New Roman" w:cs="Times New Roman"/>
          <w:sz w:val="24"/>
        </w:rPr>
      </w:pPr>
      <w:r>
        <w:rPr>
          <w:rFonts w:hint="default" w:ascii="Times New Roman" w:hAnsi="Times New Roman" w:eastAsia="黑体" w:cs="Times New Roman"/>
          <w:kern w:val="0"/>
          <w:szCs w:val="20"/>
        </w:rPr>
        <w:pict>
          <v:shape id="Object 14" o:spid="_x0000_s1038" o:spt="75" type="#_x0000_t75" style="position:absolute;left:0pt;margin-left:90.75pt;margin-top:5.1pt;height:37pt;width:147pt;z-index:251663360;mso-width-relative:page;mso-height-relative:page;" o:ole="t" filled="f" o:preferrelative="t" stroked="f" coordsize="21600,21600">
            <v:path/>
            <v:fill on="f" focussize="0,0"/>
            <v:stroke on="f" joinstyle="miter"/>
            <v:imagedata r:id="rId15" o:title=""/>
            <o:lock v:ext="edit" aspectratio="t"/>
          </v:shape>
          <o:OLEObject Type="Embed" ProgID="Equation.3" ShapeID="Object 14" DrawAspect="Content" ObjectID="_1468075725" r:id="rId14">
            <o:LockedField>false</o:LockedField>
          </o:OLEObject>
        </w:pict>
      </w:r>
    </w:p>
    <w:p>
      <w:pPr>
        <w:tabs>
          <w:tab w:val="left" w:pos="420"/>
        </w:tabs>
        <w:spacing w:line="360" w:lineRule="auto"/>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式中：</w:t>
      </w:r>
      <w:r>
        <w:rPr>
          <w:rFonts w:hint="default" w:ascii="Times New Roman" w:hAnsi="Times New Roman" w:cs="Times New Roman"/>
          <w:i/>
          <w:color w:val="auto"/>
          <w:sz w:val="24"/>
        </w:rPr>
        <w:t>Q</w:t>
      </w:r>
      <w:r>
        <w:rPr>
          <w:rFonts w:hint="default" w:ascii="Times New Roman" w:hAnsi="Times New Roman" w:cs="Times New Roman"/>
          <w:i/>
          <w:color w:val="auto"/>
          <w:sz w:val="24"/>
          <w:vertAlign w:val="subscript"/>
        </w:rPr>
        <w:t>L</w:t>
      </w:r>
      <w:r>
        <w:rPr>
          <w:rFonts w:hint="default" w:ascii="Times New Roman" w:hAnsi="Times New Roman" w:cs="Times New Roman"/>
          <w:color w:val="auto"/>
          <w:sz w:val="24"/>
        </w:rPr>
        <w:t>——液体泄漏速度，kg/s；</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      </w:t>
      </w:r>
      <w:r>
        <w:rPr>
          <w:rFonts w:hint="default" w:ascii="Times New Roman" w:hAnsi="Times New Roman" w:cs="Times New Roman"/>
          <w:i/>
          <w:color w:val="auto"/>
          <w:sz w:val="24"/>
        </w:rPr>
        <w:t>C</w:t>
      </w:r>
      <w:r>
        <w:rPr>
          <w:rFonts w:hint="default" w:ascii="Times New Roman" w:hAnsi="Times New Roman" w:cs="Times New Roman"/>
          <w:i/>
          <w:color w:val="auto"/>
          <w:sz w:val="24"/>
          <w:vertAlign w:val="subscript"/>
        </w:rPr>
        <w:t>d</w:t>
      </w:r>
      <w:r>
        <w:rPr>
          <w:rFonts w:hint="default" w:ascii="Times New Roman" w:hAnsi="Times New Roman" w:cs="Times New Roman"/>
          <w:color w:val="auto"/>
          <w:sz w:val="24"/>
        </w:rPr>
        <w:t>——液体泄漏系数，本次取0.65。</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      </w:t>
      </w:r>
      <w:r>
        <w:rPr>
          <w:rFonts w:hint="default" w:ascii="Times New Roman" w:hAnsi="Times New Roman" w:cs="Times New Roman"/>
          <w:i/>
          <w:color w:val="auto"/>
          <w:sz w:val="24"/>
        </w:rPr>
        <w:t>A</w:t>
      </w:r>
      <w:r>
        <w:rPr>
          <w:rFonts w:hint="default" w:ascii="Times New Roman" w:hAnsi="Times New Roman" w:cs="Times New Roman"/>
          <w:color w:val="auto"/>
          <w:sz w:val="24"/>
        </w:rPr>
        <w:t>——裂口面积，m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cs="Times New Roman"/>
          <w:color w:val="auto"/>
          <w:sz w:val="24"/>
        </w:rPr>
        <w:t xml:space="preserve">     </w:t>
      </w:r>
      <w:r>
        <w:rPr>
          <w:rFonts w:hint="default" w:ascii="Times New Roman" w:hAnsi="Times New Roman" w:cs="Times New Roman"/>
          <w:color w:val="auto"/>
          <w:position w:val="-10"/>
          <w:sz w:val="24"/>
        </w:rPr>
        <w:drawing>
          <wp:inline distT="0" distB="0" distL="114300" distR="114300">
            <wp:extent cx="180975" cy="200025"/>
            <wp:effectExtent l="0" t="0" r="9525" b="7620"/>
            <wp:docPr id="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7"/>
                    <pic:cNvPicPr>
                      <a:picLocks noChangeAspect="1"/>
                    </pic:cNvPicPr>
                  </pic:nvPicPr>
                  <pic:blipFill>
                    <a:blip r:embed="rId16"/>
                    <a:stretch>
                      <a:fillRect/>
                    </a:stretch>
                  </pic:blipFill>
                  <pic:spPr>
                    <a:xfrm>
                      <a:off x="0" y="0"/>
                      <a:ext cx="180975" cy="200025"/>
                    </a:xfrm>
                    <a:prstGeom prst="rect">
                      <a:avLst/>
                    </a:prstGeom>
                    <a:noFill/>
                    <a:ln>
                      <a:noFill/>
                    </a:ln>
                  </pic:spPr>
                </pic:pic>
              </a:graphicData>
            </a:graphic>
          </wp:inline>
        </w:drawing>
      </w:r>
      <w:r>
        <w:rPr>
          <w:rFonts w:hint="default" w:ascii="Times New Roman" w:hAnsi="Times New Roman" w:cs="Times New Roman"/>
          <w:color w:val="auto"/>
          <w:sz w:val="24"/>
        </w:rPr>
        <w:t>——</w:t>
      </w:r>
      <w:r>
        <w:rPr>
          <w:rFonts w:hint="default" w:ascii="Times New Roman" w:hAnsi="Times New Roman" w:cs="Times New Roman"/>
          <w:sz w:val="24"/>
        </w:rPr>
        <w:t>泄漏液体密度</w:t>
      </w:r>
      <w:r>
        <w:rPr>
          <w:rFonts w:hint="default" w:ascii="Times New Roman" w:hAnsi="Times New Roman" w:cs="Times New Roman"/>
          <w:color w:val="auto"/>
          <w:sz w:val="24"/>
        </w:rPr>
        <w:t>，kg/m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 xml:space="preserve">      P——储罐内介质压力，环境压力，Pa；</w:t>
      </w:r>
    </w:p>
    <w:p>
      <w:pPr>
        <w:spacing w:line="360" w:lineRule="auto"/>
        <w:ind w:firstLine="1200" w:firstLineChars="500"/>
        <w:rPr>
          <w:rFonts w:hint="default" w:ascii="Times New Roman" w:hAnsi="Times New Roman" w:eastAsia="宋体" w:cs="Times New Roman"/>
          <w:sz w:val="24"/>
        </w:rPr>
      </w:pPr>
      <w:r>
        <w:rPr>
          <w:rFonts w:hint="default" w:ascii="Times New Roman" w:hAnsi="Times New Roman" w:eastAsia="宋体" w:cs="Times New Roman"/>
          <w:sz w:val="24"/>
        </w:rPr>
        <w:t>P</w:t>
      </w:r>
      <w:r>
        <w:rPr>
          <w:rFonts w:hint="default" w:ascii="Times New Roman" w:hAnsi="Times New Roman" w:eastAsia="宋体" w:cs="Times New Roman"/>
          <w:sz w:val="24"/>
          <w:vertAlign w:val="subscript"/>
        </w:rPr>
        <w:t>0</w:t>
      </w:r>
      <w:r>
        <w:rPr>
          <w:rFonts w:hint="default" w:ascii="Times New Roman" w:hAnsi="Times New Roman" w:eastAsia="宋体" w:cs="Times New Roman"/>
          <w:sz w:val="24"/>
        </w:rPr>
        <w:t>——储罐内介质压力，环境压力，Pa；</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 xml:space="preserve">      </w:t>
      </w:r>
      <w:r>
        <w:rPr>
          <w:rFonts w:hint="default" w:ascii="Times New Roman" w:hAnsi="Times New Roman" w:cs="Times New Roman"/>
          <w:i/>
          <w:sz w:val="24"/>
        </w:rPr>
        <w:t>g</w:t>
      </w:r>
      <w:r>
        <w:rPr>
          <w:rFonts w:hint="default" w:ascii="Times New Roman" w:hAnsi="Times New Roman" w:cs="Times New Roman"/>
          <w:sz w:val="24"/>
        </w:rPr>
        <w:t xml:space="preserve"> ——重力加速度，9.8</w:t>
      </w:r>
      <w:r>
        <w:rPr>
          <w:rFonts w:hint="default" w:ascii="Times New Roman" w:hAnsi="Times New Roman" w:cs="Times New Roman"/>
          <w:sz w:val="24"/>
          <w:lang w:val="en-US" w:eastAsia="zh-CN"/>
        </w:rPr>
        <w:t>1</w:t>
      </w:r>
      <w:r>
        <w:rPr>
          <w:rFonts w:hint="default" w:ascii="Times New Roman" w:hAnsi="Times New Roman" w:cs="Times New Roman"/>
          <w:sz w:val="24"/>
        </w:rPr>
        <w:t>m/s</w:t>
      </w:r>
      <w:r>
        <w:rPr>
          <w:rFonts w:hint="default" w:ascii="Times New Roman" w:hAnsi="Times New Roman" w:cs="Times New Roman"/>
          <w:sz w:val="24"/>
          <w:vertAlign w:val="superscript"/>
        </w:rPr>
        <w:t>2</w:t>
      </w:r>
      <w:r>
        <w:rPr>
          <w:rFonts w:hint="default" w:ascii="Times New Roman" w:hAnsi="Times New Roman" w:cs="Times New Roman"/>
          <w:sz w:val="24"/>
        </w:rPr>
        <w:t>；</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 xml:space="preserve"> </w:t>
      </w:r>
      <w:r>
        <w:rPr>
          <w:rFonts w:hint="default" w:ascii="Times New Roman" w:hAnsi="Times New Roman" w:cs="Times New Roman"/>
          <w:color w:val="auto"/>
          <w:sz w:val="24"/>
        </w:rPr>
        <w:t xml:space="preserve">     </w:t>
      </w:r>
      <w:r>
        <w:rPr>
          <w:rFonts w:hint="default" w:ascii="Times New Roman" w:hAnsi="Times New Roman" w:cs="Times New Roman"/>
          <w:i/>
          <w:color w:val="auto"/>
          <w:sz w:val="24"/>
        </w:rPr>
        <w:t>h</w:t>
      </w:r>
      <w:r>
        <w:rPr>
          <w:rFonts w:hint="default" w:ascii="Times New Roman" w:hAnsi="Times New Roman" w:cs="Times New Roman"/>
          <w:color w:val="auto"/>
          <w:sz w:val="24"/>
        </w:rPr>
        <w:t xml:space="preserve"> ——裂口之上液位高度，m。</w:t>
      </w:r>
    </w:p>
    <w:p>
      <w:pPr>
        <w:tabs>
          <w:tab w:val="left" w:pos="1995"/>
        </w:tabs>
        <w:spacing w:line="360" w:lineRule="auto"/>
        <w:ind w:firstLine="505"/>
        <w:rPr>
          <w:rFonts w:hint="default" w:ascii="Times New Roman" w:hAnsi="Times New Roman" w:cs="Times New Roman"/>
          <w:color w:val="auto"/>
          <w:sz w:val="24"/>
        </w:rPr>
      </w:pPr>
      <w:r>
        <w:rPr>
          <w:rFonts w:hint="default" w:ascii="Times New Roman" w:hAnsi="Times New Roman" w:cs="Times New Roman"/>
          <w:color w:val="auto"/>
          <w:sz w:val="24"/>
        </w:rPr>
        <w:t>本法的限制条件：液体在喷口内不应有急剧蒸发。</w:t>
      </w:r>
    </w:p>
    <w:p>
      <w:pPr>
        <w:autoSpaceDE w:val="0"/>
        <w:autoSpaceDN w:val="0"/>
        <w:ind w:firstLine="480"/>
        <w:rPr>
          <w:rFonts w:hint="default" w:ascii="Times New Roman" w:hAnsi="Times New Roman" w:cs="Times New Roman"/>
          <w:color w:val="auto"/>
        </w:rPr>
      </w:pPr>
      <w:r>
        <w:rPr>
          <w:rFonts w:hint="default" w:ascii="Times New Roman" w:hAnsi="Times New Roman" w:cs="Times New Roman"/>
          <w:color w:val="auto"/>
        </w:rPr>
        <w:t>参数取值及计算结果见表4.2-1。</w:t>
      </w:r>
    </w:p>
    <w:p>
      <w:pPr>
        <w:adjustRightInd w:val="0"/>
        <w:ind w:firstLine="0" w:firstLineChars="0"/>
        <w:jc w:val="center"/>
        <w:rPr>
          <w:rFonts w:hint="default" w:ascii="Times New Roman" w:hAnsi="Times New Roman" w:eastAsia="黑体" w:cs="Times New Roman"/>
          <w:color w:val="auto"/>
        </w:rPr>
      </w:pPr>
      <w:r>
        <w:rPr>
          <w:rFonts w:hint="default" w:ascii="Times New Roman" w:hAnsi="Times New Roman" w:eastAsia="黑体" w:cs="Times New Roman"/>
          <w:color w:val="auto"/>
        </w:rPr>
        <w:t>表4.2-1 储罐泄漏取值及计算结果一览表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9"/>
        <w:gridCol w:w="2420"/>
        <w:gridCol w:w="1244"/>
        <w:gridCol w:w="1979"/>
        <w:gridCol w:w="1983"/>
        <w:gridCol w:w="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60" w:type="pct"/>
            <w:vMerge w:val="restar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符号</w:t>
            </w:r>
          </w:p>
        </w:tc>
        <w:tc>
          <w:tcPr>
            <w:tcW w:w="1344" w:type="pct"/>
            <w:vMerge w:val="restar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含义</w:t>
            </w:r>
          </w:p>
        </w:tc>
        <w:tc>
          <w:tcPr>
            <w:tcW w:w="691" w:type="pct"/>
            <w:vMerge w:val="restar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单位</w:t>
            </w:r>
          </w:p>
        </w:tc>
        <w:tc>
          <w:tcPr>
            <w:tcW w:w="2203" w:type="pct"/>
            <w:gridSpan w:val="3"/>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取值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37" w:hRule="atLeast"/>
          <w:jc w:val="center"/>
        </w:trPr>
        <w:tc>
          <w:tcPr>
            <w:tcW w:w="760" w:type="pct"/>
            <w:vMerge w:val="continue"/>
            <w:noWrap w:val="0"/>
            <w:tcMar>
              <w:top w:w="0" w:type="dxa"/>
              <w:left w:w="51" w:type="dxa"/>
              <w:bottom w:w="0" w:type="dxa"/>
              <w:right w:w="51" w:type="dxa"/>
            </w:tcMar>
            <w:vAlign w:val="center"/>
          </w:tcPr>
          <w:p>
            <w:pPr>
              <w:pStyle w:val="35"/>
              <w:rPr>
                <w:rFonts w:hint="default" w:ascii="Times New Roman" w:hAnsi="Times New Roman" w:cs="Times New Roman"/>
                <w:color w:val="auto"/>
              </w:rPr>
            </w:pPr>
          </w:p>
        </w:tc>
        <w:tc>
          <w:tcPr>
            <w:tcW w:w="1344" w:type="pct"/>
            <w:vMerge w:val="continue"/>
            <w:noWrap w:val="0"/>
            <w:tcMar>
              <w:top w:w="0" w:type="dxa"/>
              <w:left w:w="51" w:type="dxa"/>
              <w:bottom w:w="0" w:type="dxa"/>
              <w:right w:w="51" w:type="dxa"/>
            </w:tcMar>
            <w:vAlign w:val="center"/>
          </w:tcPr>
          <w:p>
            <w:pPr>
              <w:pStyle w:val="35"/>
              <w:rPr>
                <w:rFonts w:hint="default" w:ascii="Times New Roman" w:hAnsi="Times New Roman" w:cs="Times New Roman"/>
                <w:color w:val="auto"/>
              </w:rPr>
            </w:pPr>
          </w:p>
        </w:tc>
        <w:tc>
          <w:tcPr>
            <w:tcW w:w="691" w:type="pct"/>
            <w:vMerge w:val="continue"/>
            <w:noWrap w:val="0"/>
            <w:tcMar>
              <w:top w:w="0" w:type="dxa"/>
              <w:left w:w="51" w:type="dxa"/>
              <w:bottom w:w="0" w:type="dxa"/>
              <w:right w:w="51" w:type="dxa"/>
            </w:tcMar>
            <w:vAlign w:val="center"/>
          </w:tcPr>
          <w:p>
            <w:pPr>
              <w:pStyle w:val="35"/>
              <w:rPr>
                <w:rFonts w:hint="default" w:ascii="Times New Roman" w:hAnsi="Times New Roman" w:cs="Times New Roman"/>
                <w:color w:val="auto"/>
              </w:rPr>
            </w:pPr>
          </w:p>
        </w:tc>
        <w:tc>
          <w:tcPr>
            <w:tcW w:w="1099"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lang w:val="en-US" w:eastAsia="zh-CN"/>
              </w:rPr>
              <w:t>甲醇</w:t>
            </w:r>
            <w:r>
              <w:rPr>
                <w:rFonts w:hint="default" w:ascii="Times New Roman" w:hAnsi="Times New Roman" w:cs="Times New Roman"/>
                <w:color w:val="auto"/>
              </w:rPr>
              <w:t>储罐泄漏</w:t>
            </w:r>
          </w:p>
        </w:tc>
        <w:tc>
          <w:tcPr>
            <w:tcW w:w="1101" w:type="pct"/>
            <w:noWrap w:val="0"/>
            <w:tcMar>
              <w:top w:w="0" w:type="dxa"/>
              <w:left w:w="51" w:type="dxa"/>
              <w:bottom w:w="0" w:type="dxa"/>
              <w:right w:w="51" w:type="dxa"/>
            </w:tcMar>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37%甲醛</w:t>
            </w:r>
            <w:r>
              <w:rPr>
                <w:rFonts w:hint="default" w:ascii="Times New Roman" w:hAnsi="Times New Roman" w:cs="Times New Roman"/>
                <w:color w:val="auto"/>
              </w:rPr>
              <w:t>储罐泄露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37" w:hRule="atLeast"/>
          <w:jc w:val="center"/>
        </w:trPr>
        <w:tc>
          <w:tcPr>
            <w:tcW w:w="760"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Cd</w:t>
            </w:r>
          </w:p>
        </w:tc>
        <w:tc>
          <w:tcPr>
            <w:tcW w:w="1344"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液体泄漏系数</w:t>
            </w:r>
          </w:p>
        </w:tc>
        <w:tc>
          <w:tcPr>
            <w:tcW w:w="691"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无量纲</w:t>
            </w:r>
          </w:p>
        </w:tc>
        <w:tc>
          <w:tcPr>
            <w:tcW w:w="1099" w:type="pct"/>
            <w:noWrap w:val="0"/>
            <w:tcMar>
              <w:top w:w="0" w:type="dxa"/>
              <w:left w:w="51" w:type="dxa"/>
              <w:bottom w:w="0" w:type="dxa"/>
              <w:right w:w="51" w:type="dxa"/>
            </w:tcMar>
            <w:vAlign w:val="center"/>
          </w:tcPr>
          <w:p>
            <w:pPr>
              <w:pStyle w:val="35"/>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0.65</w:t>
            </w:r>
          </w:p>
        </w:tc>
        <w:tc>
          <w:tcPr>
            <w:tcW w:w="1101" w:type="pct"/>
            <w:noWrap w:val="0"/>
            <w:tcMar>
              <w:top w:w="0" w:type="dxa"/>
              <w:left w:w="51" w:type="dxa"/>
              <w:bottom w:w="0" w:type="dxa"/>
              <w:right w:w="51" w:type="dxa"/>
            </w:tcMar>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0.65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37" w:hRule="atLeast"/>
          <w:jc w:val="center"/>
        </w:trPr>
        <w:tc>
          <w:tcPr>
            <w:tcW w:w="760"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A</w:t>
            </w:r>
          </w:p>
        </w:tc>
        <w:tc>
          <w:tcPr>
            <w:tcW w:w="1344"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裂口面积</w:t>
            </w:r>
          </w:p>
        </w:tc>
        <w:tc>
          <w:tcPr>
            <w:tcW w:w="691"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m</w:t>
            </w:r>
            <w:r>
              <w:rPr>
                <w:rFonts w:hint="default" w:ascii="Times New Roman" w:hAnsi="Times New Roman" w:cs="Times New Roman"/>
                <w:color w:val="auto"/>
                <w:vertAlign w:val="superscript"/>
              </w:rPr>
              <w:t>2</w:t>
            </w:r>
          </w:p>
        </w:tc>
        <w:tc>
          <w:tcPr>
            <w:tcW w:w="1099"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0.000314</w:t>
            </w:r>
          </w:p>
        </w:tc>
        <w:tc>
          <w:tcPr>
            <w:tcW w:w="1101" w:type="pct"/>
            <w:noWrap w:val="0"/>
            <w:tcMar>
              <w:top w:w="0" w:type="dxa"/>
              <w:left w:w="51" w:type="dxa"/>
              <w:bottom w:w="0" w:type="dxa"/>
              <w:right w:w="51" w:type="dxa"/>
            </w:tcMar>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rPr>
              <w:t>0.000314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37" w:hRule="atLeast"/>
          <w:jc w:val="center"/>
        </w:trPr>
        <w:tc>
          <w:tcPr>
            <w:tcW w:w="760"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P</w:t>
            </w:r>
          </w:p>
        </w:tc>
        <w:tc>
          <w:tcPr>
            <w:tcW w:w="1344"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容器内介质压力</w:t>
            </w:r>
          </w:p>
        </w:tc>
        <w:tc>
          <w:tcPr>
            <w:tcW w:w="691"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Pa</w:t>
            </w:r>
          </w:p>
        </w:tc>
        <w:tc>
          <w:tcPr>
            <w:tcW w:w="1099"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101325</w:t>
            </w:r>
          </w:p>
        </w:tc>
        <w:tc>
          <w:tcPr>
            <w:tcW w:w="1101" w:type="pct"/>
            <w:noWrap w:val="0"/>
            <w:tcMar>
              <w:top w:w="0" w:type="dxa"/>
              <w:left w:w="51" w:type="dxa"/>
              <w:bottom w:w="0" w:type="dxa"/>
              <w:right w:w="51" w:type="dxa"/>
            </w:tcMar>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rPr>
              <w:t>101325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37" w:hRule="atLeast"/>
          <w:jc w:val="center"/>
        </w:trPr>
        <w:tc>
          <w:tcPr>
            <w:tcW w:w="760"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P0</w:t>
            </w:r>
          </w:p>
        </w:tc>
        <w:tc>
          <w:tcPr>
            <w:tcW w:w="1344"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环境压力</w:t>
            </w:r>
          </w:p>
        </w:tc>
        <w:tc>
          <w:tcPr>
            <w:tcW w:w="691"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Pa</w:t>
            </w:r>
          </w:p>
        </w:tc>
        <w:tc>
          <w:tcPr>
            <w:tcW w:w="1099"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101325</w:t>
            </w:r>
          </w:p>
        </w:tc>
        <w:tc>
          <w:tcPr>
            <w:tcW w:w="1101" w:type="pct"/>
            <w:noWrap w:val="0"/>
            <w:tcMar>
              <w:top w:w="0" w:type="dxa"/>
              <w:left w:w="51" w:type="dxa"/>
              <w:bottom w:w="0" w:type="dxa"/>
              <w:right w:w="51" w:type="dxa"/>
            </w:tcMar>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rPr>
              <w:t>101325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37" w:hRule="atLeast"/>
          <w:jc w:val="center"/>
        </w:trPr>
        <w:tc>
          <w:tcPr>
            <w:tcW w:w="760"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G</w:t>
            </w:r>
          </w:p>
        </w:tc>
        <w:tc>
          <w:tcPr>
            <w:tcW w:w="1344"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重力加速度</w:t>
            </w:r>
          </w:p>
        </w:tc>
        <w:tc>
          <w:tcPr>
            <w:tcW w:w="691"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m/s</w:t>
            </w:r>
            <w:r>
              <w:rPr>
                <w:rFonts w:hint="default" w:ascii="Times New Roman" w:hAnsi="Times New Roman" w:cs="Times New Roman"/>
                <w:color w:val="auto"/>
                <w:vertAlign w:val="superscript"/>
              </w:rPr>
              <w:t>2</w:t>
            </w:r>
          </w:p>
        </w:tc>
        <w:tc>
          <w:tcPr>
            <w:tcW w:w="1099" w:type="pct"/>
            <w:noWrap w:val="0"/>
            <w:tcMar>
              <w:top w:w="0" w:type="dxa"/>
              <w:left w:w="51" w:type="dxa"/>
              <w:bottom w:w="0" w:type="dxa"/>
              <w:right w:w="51" w:type="dxa"/>
            </w:tcMar>
            <w:vAlign w:val="center"/>
          </w:tcPr>
          <w:p>
            <w:pPr>
              <w:pStyle w:val="35"/>
              <w:rPr>
                <w:rFonts w:hint="default" w:ascii="Times New Roman" w:hAnsi="Times New Roman" w:eastAsia="宋体" w:cs="Times New Roman"/>
                <w:color w:val="auto"/>
                <w:lang w:val="en-US" w:eastAsia="zh-CN"/>
              </w:rPr>
            </w:pPr>
            <w:r>
              <w:rPr>
                <w:rFonts w:hint="default" w:ascii="Times New Roman" w:hAnsi="Times New Roman" w:cs="Times New Roman"/>
                <w:color w:val="auto"/>
              </w:rPr>
              <w:t>9.8</w:t>
            </w:r>
            <w:r>
              <w:rPr>
                <w:rFonts w:hint="default" w:ascii="Times New Roman" w:hAnsi="Times New Roman" w:cs="Times New Roman"/>
                <w:color w:val="auto"/>
                <w:lang w:val="en-US" w:eastAsia="zh-CN"/>
              </w:rPr>
              <w:t>1</w:t>
            </w:r>
          </w:p>
        </w:tc>
        <w:tc>
          <w:tcPr>
            <w:tcW w:w="1101" w:type="pct"/>
            <w:noWrap w:val="0"/>
            <w:tcMar>
              <w:top w:w="0" w:type="dxa"/>
              <w:left w:w="51" w:type="dxa"/>
              <w:bottom w:w="0" w:type="dxa"/>
              <w:right w:w="51" w:type="dxa"/>
            </w:tcMar>
            <w:vAlign w:val="center"/>
          </w:tcPr>
          <w:p>
            <w:pPr>
              <w:pStyle w:val="35"/>
              <w:ind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rPr>
              <w:t>9.8</w:t>
            </w:r>
            <w:r>
              <w:rPr>
                <w:rFonts w:hint="default" w:ascii="Times New Roman" w:hAnsi="Times New Roman" w:cs="Times New Roman"/>
                <w:color w:val="auto"/>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37" w:hRule="atLeast"/>
          <w:jc w:val="center"/>
        </w:trPr>
        <w:tc>
          <w:tcPr>
            <w:tcW w:w="760"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h</w:t>
            </w:r>
          </w:p>
        </w:tc>
        <w:tc>
          <w:tcPr>
            <w:tcW w:w="1344"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裂口之上液位高度</w:t>
            </w:r>
          </w:p>
        </w:tc>
        <w:tc>
          <w:tcPr>
            <w:tcW w:w="691"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m</w:t>
            </w:r>
          </w:p>
        </w:tc>
        <w:tc>
          <w:tcPr>
            <w:tcW w:w="1099"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0.8</w:t>
            </w:r>
          </w:p>
        </w:tc>
        <w:tc>
          <w:tcPr>
            <w:tcW w:w="1101" w:type="pct"/>
            <w:noWrap w:val="0"/>
            <w:tcMar>
              <w:top w:w="0" w:type="dxa"/>
              <w:left w:w="51" w:type="dxa"/>
              <w:bottom w:w="0" w:type="dxa"/>
              <w:right w:w="51" w:type="dxa"/>
            </w:tcMar>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rPr>
              <w:t>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37" w:hRule="atLeast"/>
          <w:jc w:val="center"/>
        </w:trPr>
        <w:tc>
          <w:tcPr>
            <w:tcW w:w="760"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ρ</w:t>
            </w:r>
          </w:p>
        </w:tc>
        <w:tc>
          <w:tcPr>
            <w:tcW w:w="1344"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液体密度</w:t>
            </w:r>
          </w:p>
        </w:tc>
        <w:tc>
          <w:tcPr>
            <w:tcW w:w="691"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kg/m</w:t>
            </w:r>
            <w:r>
              <w:rPr>
                <w:rFonts w:hint="default" w:ascii="Times New Roman" w:hAnsi="Times New Roman" w:cs="Times New Roman"/>
                <w:color w:val="auto"/>
                <w:vertAlign w:val="superscript"/>
              </w:rPr>
              <w:t>3</w:t>
            </w:r>
          </w:p>
        </w:tc>
        <w:tc>
          <w:tcPr>
            <w:tcW w:w="1099" w:type="pct"/>
            <w:noWrap w:val="0"/>
            <w:tcMar>
              <w:top w:w="0" w:type="dxa"/>
              <w:left w:w="51" w:type="dxa"/>
              <w:bottom w:w="0" w:type="dxa"/>
              <w:right w:w="51" w:type="dxa"/>
            </w:tcMar>
            <w:vAlign w:val="center"/>
          </w:tcPr>
          <w:p>
            <w:pPr>
              <w:pStyle w:val="35"/>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790</w:t>
            </w:r>
          </w:p>
        </w:tc>
        <w:tc>
          <w:tcPr>
            <w:tcW w:w="1101" w:type="pct"/>
            <w:noWrap w:val="0"/>
            <w:tcMar>
              <w:top w:w="0" w:type="dxa"/>
              <w:left w:w="51" w:type="dxa"/>
              <w:bottom w:w="0" w:type="dxa"/>
              <w:right w:w="51" w:type="dxa"/>
            </w:tcMar>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rPr>
              <w:t>8</w:t>
            </w:r>
            <w:r>
              <w:rPr>
                <w:rFonts w:hint="default" w:ascii="Times New Roman" w:hAnsi="Times New Roman" w:cs="Times New Roman"/>
                <w:color w:val="auto"/>
                <w:lang w:val="en-US" w:eastAsia="zh-CN"/>
              </w:rPr>
              <w:t>2</w:t>
            </w: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2" w:type="pct"/>
          <w:trHeight w:val="337" w:hRule="atLeast"/>
          <w:jc w:val="center"/>
        </w:trPr>
        <w:tc>
          <w:tcPr>
            <w:tcW w:w="760"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QL</w:t>
            </w:r>
          </w:p>
        </w:tc>
        <w:tc>
          <w:tcPr>
            <w:tcW w:w="1344"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液体泄漏速度</w:t>
            </w:r>
          </w:p>
        </w:tc>
        <w:tc>
          <w:tcPr>
            <w:tcW w:w="691" w:type="pct"/>
            <w:noWrap w:val="0"/>
            <w:tcMar>
              <w:top w:w="0" w:type="dxa"/>
              <w:left w:w="51" w:type="dxa"/>
              <w:bottom w:w="0" w:type="dxa"/>
              <w:right w:w="51" w:type="dxa"/>
            </w:tcMar>
            <w:vAlign w:val="center"/>
          </w:tcPr>
          <w:p>
            <w:pPr>
              <w:pStyle w:val="35"/>
              <w:rPr>
                <w:rFonts w:hint="default" w:ascii="Times New Roman" w:hAnsi="Times New Roman" w:cs="Times New Roman"/>
                <w:color w:val="auto"/>
              </w:rPr>
            </w:pPr>
            <w:r>
              <w:rPr>
                <w:rFonts w:hint="default" w:ascii="Times New Roman" w:hAnsi="Times New Roman" w:cs="Times New Roman"/>
                <w:color w:val="auto"/>
              </w:rPr>
              <w:t>kg/s</w:t>
            </w:r>
          </w:p>
        </w:tc>
        <w:tc>
          <w:tcPr>
            <w:tcW w:w="1099" w:type="pct"/>
            <w:noWrap w:val="0"/>
            <w:tcMar>
              <w:top w:w="0" w:type="dxa"/>
              <w:left w:w="51" w:type="dxa"/>
              <w:bottom w:w="0" w:type="dxa"/>
              <w:right w:w="51" w:type="dxa"/>
            </w:tcMar>
            <w:vAlign w:val="center"/>
          </w:tcPr>
          <w:p>
            <w:pPr>
              <w:pStyle w:val="35"/>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0.639</w:t>
            </w:r>
          </w:p>
        </w:tc>
        <w:tc>
          <w:tcPr>
            <w:tcW w:w="1101" w:type="pct"/>
            <w:noWrap w:val="0"/>
            <w:tcMar>
              <w:top w:w="0" w:type="dxa"/>
              <w:left w:w="51" w:type="dxa"/>
              <w:bottom w:w="0" w:type="dxa"/>
              <w:right w:w="51" w:type="dxa"/>
            </w:tcMar>
            <w:vAlign w:val="center"/>
          </w:tcPr>
          <w:p>
            <w:pPr>
              <w:pStyle w:val="35"/>
              <w:ind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0.663</w:t>
            </w:r>
          </w:p>
        </w:tc>
      </w:tr>
    </w:tbl>
    <w:p>
      <w:pPr>
        <w:ind w:firstLine="480"/>
        <w:rPr>
          <w:rFonts w:hint="default" w:ascii="Times New Roman" w:hAnsi="Times New Roman" w:cs="Times New Roman"/>
          <w:color w:val="auto"/>
        </w:rPr>
      </w:pPr>
      <w:r>
        <w:rPr>
          <w:rFonts w:hint="default" w:ascii="Times New Roman" w:hAnsi="Times New Roman" w:cs="Times New Roman"/>
          <w:color w:val="auto"/>
        </w:rPr>
        <w:t>泄漏量计算结果见表4.2-2。</w:t>
      </w:r>
    </w:p>
    <w:p>
      <w:pPr>
        <w:adjustRightInd w:val="0"/>
        <w:ind w:firstLine="0" w:firstLineChars="0"/>
        <w:jc w:val="center"/>
        <w:rPr>
          <w:rFonts w:hint="default" w:ascii="Times New Roman" w:hAnsi="Times New Roman" w:eastAsia="黑体" w:cs="Times New Roman"/>
          <w:color w:val="auto"/>
        </w:rPr>
      </w:pPr>
      <w:r>
        <w:rPr>
          <w:rFonts w:hint="default" w:ascii="Times New Roman" w:hAnsi="Times New Roman" w:eastAsia="黑体" w:cs="Times New Roman"/>
          <w:color w:val="auto"/>
        </w:rPr>
        <w:t>表4.2-2 储罐泄漏量计算结果一览表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68"/>
        <w:gridCol w:w="2017"/>
        <w:gridCol w:w="2314"/>
        <w:gridCol w:w="23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354" w:type="pct"/>
            <w:noWrap w:val="0"/>
            <w:vAlign w:val="center"/>
          </w:tcPr>
          <w:p>
            <w:pPr>
              <w:pStyle w:val="35"/>
              <w:rPr>
                <w:rFonts w:hint="default" w:ascii="Times New Roman" w:hAnsi="Times New Roman" w:cs="Times New Roman"/>
                <w:color w:val="auto"/>
              </w:rPr>
            </w:pPr>
            <w:r>
              <w:rPr>
                <w:rFonts w:hint="default" w:ascii="Times New Roman" w:hAnsi="Times New Roman" w:cs="Times New Roman"/>
                <w:color w:val="auto"/>
              </w:rPr>
              <w:t>项目</w:t>
            </w:r>
          </w:p>
        </w:tc>
        <w:tc>
          <w:tcPr>
            <w:tcW w:w="1106" w:type="pct"/>
            <w:noWrap w:val="0"/>
            <w:vAlign w:val="center"/>
          </w:tcPr>
          <w:p>
            <w:pPr>
              <w:pStyle w:val="35"/>
              <w:rPr>
                <w:rFonts w:hint="default" w:ascii="Times New Roman" w:hAnsi="Times New Roman" w:cs="Times New Roman"/>
                <w:color w:val="auto"/>
              </w:rPr>
            </w:pPr>
            <w:r>
              <w:rPr>
                <w:rFonts w:hint="default" w:ascii="Times New Roman" w:hAnsi="Times New Roman" w:cs="Times New Roman"/>
                <w:color w:val="auto"/>
              </w:rPr>
              <w:t>泄漏速度(kg/s)</w:t>
            </w:r>
          </w:p>
        </w:tc>
        <w:tc>
          <w:tcPr>
            <w:tcW w:w="1269" w:type="pct"/>
            <w:noWrap w:val="0"/>
            <w:vAlign w:val="center"/>
          </w:tcPr>
          <w:p>
            <w:pPr>
              <w:pStyle w:val="35"/>
              <w:rPr>
                <w:rFonts w:hint="default" w:ascii="Times New Roman" w:hAnsi="Times New Roman" w:cs="Times New Roman"/>
                <w:color w:val="auto"/>
              </w:rPr>
            </w:pPr>
            <w:r>
              <w:rPr>
                <w:rFonts w:hint="default" w:ascii="Times New Roman" w:hAnsi="Times New Roman" w:cs="Times New Roman"/>
                <w:color w:val="auto"/>
              </w:rPr>
              <w:t>泄漏时间(s)</w:t>
            </w:r>
          </w:p>
        </w:tc>
        <w:tc>
          <w:tcPr>
            <w:tcW w:w="1269" w:type="pct"/>
            <w:noWrap w:val="0"/>
            <w:vAlign w:val="center"/>
          </w:tcPr>
          <w:p>
            <w:pPr>
              <w:pStyle w:val="35"/>
              <w:rPr>
                <w:rFonts w:hint="default" w:ascii="Times New Roman" w:hAnsi="Times New Roman" w:cs="Times New Roman"/>
                <w:color w:val="auto"/>
              </w:rPr>
            </w:pPr>
            <w:r>
              <w:rPr>
                <w:rFonts w:hint="default" w:ascii="Times New Roman" w:hAnsi="Times New Roman" w:cs="Times New Roman"/>
                <w:color w:val="auto"/>
              </w:rPr>
              <w:t>计算泄漏量(t)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354" w:type="pct"/>
            <w:noWrap w:val="0"/>
            <w:vAlign w:val="center"/>
          </w:tcPr>
          <w:p>
            <w:pPr>
              <w:pStyle w:val="35"/>
              <w:rPr>
                <w:rFonts w:hint="default" w:ascii="Times New Roman" w:hAnsi="Times New Roman" w:cs="Times New Roman"/>
                <w:color w:val="auto"/>
              </w:rPr>
            </w:pPr>
            <w:r>
              <w:rPr>
                <w:rFonts w:hint="default" w:ascii="Times New Roman" w:hAnsi="Times New Roman" w:cs="Times New Roman"/>
                <w:color w:val="auto"/>
                <w:lang w:val="en-US" w:eastAsia="zh-CN"/>
              </w:rPr>
              <w:t>甲醇</w:t>
            </w:r>
            <w:r>
              <w:rPr>
                <w:rFonts w:hint="default" w:ascii="Times New Roman" w:hAnsi="Times New Roman" w:cs="Times New Roman"/>
                <w:color w:val="auto"/>
              </w:rPr>
              <w:t>储罐泄漏</w:t>
            </w:r>
          </w:p>
        </w:tc>
        <w:tc>
          <w:tcPr>
            <w:tcW w:w="1106" w:type="pct"/>
            <w:noWrap w:val="0"/>
            <w:vAlign w:val="center"/>
          </w:tcPr>
          <w:p>
            <w:pPr>
              <w:pStyle w:val="35"/>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0.639</w:t>
            </w:r>
          </w:p>
        </w:tc>
        <w:tc>
          <w:tcPr>
            <w:tcW w:w="1269" w:type="pct"/>
            <w:noWrap w:val="0"/>
            <w:vAlign w:val="center"/>
          </w:tcPr>
          <w:p>
            <w:pPr>
              <w:pStyle w:val="35"/>
              <w:rPr>
                <w:rFonts w:hint="default" w:ascii="Times New Roman" w:hAnsi="Times New Roman" w:cs="Times New Roman"/>
                <w:color w:val="auto"/>
              </w:rPr>
            </w:pPr>
            <w:r>
              <w:rPr>
                <w:rFonts w:hint="default" w:ascii="Times New Roman" w:hAnsi="Times New Roman" w:cs="Times New Roman"/>
                <w:color w:val="auto"/>
              </w:rPr>
              <w:t>600</w:t>
            </w:r>
          </w:p>
        </w:tc>
        <w:tc>
          <w:tcPr>
            <w:tcW w:w="1269" w:type="pct"/>
            <w:noWrap w:val="0"/>
            <w:vAlign w:val="center"/>
          </w:tcPr>
          <w:p>
            <w:pPr>
              <w:pStyle w:val="35"/>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0.383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354" w:type="pct"/>
            <w:noWrap w:val="0"/>
            <w:vAlign w:val="center"/>
          </w:tcPr>
          <w:p>
            <w:pPr>
              <w:pStyle w:val="35"/>
              <w:rPr>
                <w:rFonts w:hint="default" w:ascii="Times New Roman" w:hAnsi="Times New Roman" w:cs="Times New Roman"/>
                <w:color w:val="auto"/>
              </w:rPr>
            </w:pPr>
            <w:r>
              <w:rPr>
                <w:rFonts w:hint="default" w:ascii="Times New Roman" w:hAnsi="Times New Roman" w:cs="Times New Roman"/>
                <w:color w:val="auto"/>
                <w:lang w:val="en-US" w:eastAsia="zh-CN"/>
              </w:rPr>
              <w:t>37%甲醛</w:t>
            </w:r>
            <w:r>
              <w:rPr>
                <w:rFonts w:hint="default" w:ascii="Times New Roman" w:hAnsi="Times New Roman" w:cs="Times New Roman"/>
                <w:color w:val="auto"/>
              </w:rPr>
              <w:t>储罐泄露</w:t>
            </w:r>
          </w:p>
        </w:tc>
        <w:tc>
          <w:tcPr>
            <w:tcW w:w="1106" w:type="pct"/>
            <w:noWrap w:val="0"/>
            <w:vAlign w:val="center"/>
          </w:tcPr>
          <w:p>
            <w:pPr>
              <w:pStyle w:val="35"/>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0.663</w:t>
            </w:r>
          </w:p>
        </w:tc>
        <w:tc>
          <w:tcPr>
            <w:tcW w:w="1269" w:type="pct"/>
            <w:noWrap w:val="0"/>
            <w:vAlign w:val="center"/>
          </w:tcPr>
          <w:p>
            <w:pPr>
              <w:pStyle w:val="35"/>
              <w:rPr>
                <w:rFonts w:hint="default" w:ascii="Times New Roman" w:hAnsi="Times New Roman" w:cs="Times New Roman"/>
                <w:color w:val="auto"/>
              </w:rPr>
            </w:pPr>
            <w:r>
              <w:rPr>
                <w:rFonts w:hint="default" w:ascii="Times New Roman" w:hAnsi="Times New Roman" w:cs="Times New Roman"/>
                <w:color w:val="auto"/>
              </w:rPr>
              <w:t>600</w:t>
            </w:r>
          </w:p>
        </w:tc>
        <w:tc>
          <w:tcPr>
            <w:tcW w:w="1269" w:type="pct"/>
            <w:noWrap w:val="0"/>
            <w:vAlign w:val="center"/>
          </w:tcPr>
          <w:p>
            <w:pPr>
              <w:pStyle w:val="35"/>
              <w:rPr>
                <w:rFonts w:hint="default" w:ascii="Times New Roman" w:hAnsi="Times New Roman" w:eastAsia="宋体" w:cs="Times New Roman"/>
                <w:color w:val="auto"/>
                <w:lang w:eastAsia="zh-CN"/>
              </w:rPr>
            </w:pPr>
            <w:r>
              <w:rPr>
                <w:rFonts w:hint="default" w:ascii="Times New Roman" w:hAnsi="Times New Roman" w:cs="Times New Roman"/>
                <w:color w:val="auto"/>
              </w:rPr>
              <w:t>0.39</w:t>
            </w:r>
            <w:r>
              <w:rPr>
                <w:rFonts w:hint="default" w:ascii="Times New Roman" w:hAnsi="Times New Roman" w:cs="Times New Roman"/>
                <w:color w:val="auto"/>
                <w:lang w:val="en-US" w:eastAsia="zh-CN"/>
              </w:rPr>
              <w:t>8</w:t>
            </w:r>
          </w:p>
        </w:tc>
      </w:tr>
    </w:tbl>
    <w:p>
      <w:pPr>
        <w:tabs>
          <w:tab w:val="left" w:pos="1995"/>
        </w:tabs>
        <w:spacing w:line="360" w:lineRule="auto"/>
        <w:ind w:firstLine="505"/>
        <w:rPr>
          <w:rFonts w:hint="default" w:ascii="Times New Roman" w:hAnsi="Times New Roman" w:cs="Times New Roman"/>
          <w:b w:val="0"/>
          <w:bCs/>
          <w:color w:val="auto"/>
          <w:sz w:val="24"/>
        </w:rPr>
      </w:pPr>
      <w:r>
        <w:rPr>
          <w:rFonts w:hint="default" w:ascii="Times New Roman" w:hAnsi="Times New Roman" w:cs="Times New Roman"/>
          <w:b w:val="0"/>
          <w:bCs/>
          <w:color w:val="auto"/>
          <w:sz w:val="24"/>
          <w:lang w:eastAsia="zh-CN"/>
        </w:rPr>
        <w:t>（</w:t>
      </w:r>
      <w:r>
        <w:rPr>
          <w:rFonts w:hint="default" w:ascii="Times New Roman" w:hAnsi="Times New Roman" w:cs="Times New Roman"/>
          <w:b w:val="0"/>
          <w:bCs/>
          <w:color w:val="auto"/>
          <w:sz w:val="24"/>
          <w:lang w:val="en-US" w:eastAsia="zh-CN"/>
        </w:rPr>
        <w:t>2</w:t>
      </w:r>
      <w:r>
        <w:rPr>
          <w:rFonts w:hint="default" w:ascii="Times New Roman" w:hAnsi="Times New Roman" w:cs="Times New Roman"/>
          <w:b w:val="0"/>
          <w:bCs/>
          <w:color w:val="auto"/>
          <w:sz w:val="24"/>
          <w:lang w:eastAsia="zh-CN"/>
        </w:rPr>
        <w:t>）</w:t>
      </w:r>
      <w:r>
        <w:rPr>
          <w:rFonts w:hint="default" w:ascii="Times New Roman" w:hAnsi="Times New Roman" w:cs="Times New Roman"/>
          <w:b w:val="0"/>
          <w:bCs/>
          <w:color w:val="auto"/>
          <w:sz w:val="24"/>
        </w:rPr>
        <w:t>泄漏后</w:t>
      </w:r>
      <w:r>
        <w:rPr>
          <w:rFonts w:hint="default" w:ascii="Times New Roman" w:hAnsi="Times New Roman" w:cs="Times New Roman"/>
          <w:b w:val="0"/>
          <w:bCs/>
          <w:color w:val="auto"/>
          <w:sz w:val="24"/>
          <w:lang w:val="en-US" w:eastAsia="zh-CN"/>
        </w:rPr>
        <w:t>液体</w:t>
      </w:r>
      <w:r>
        <w:rPr>
          <w:rFonts w:hint="default" w:ascii="Times New Roman" w:hAnsi="Times New Roman" w:cs="Times New Roman"/>
          <w:b w:val="0"/>
          <w:bCs/>
          <w:color w:val="auto"/>
          <w:sz w:val="24"/>
        </w:rPr>
        <w:t>蒸发量计算</w:t>
      </w:r>
    </w:p>
    <w:p>
      <w:pPr>
        <w:bidi w:val="0"/>
        <w:rPr>
          <w:rFonts w:hint="default" w:ascii="Times New Roman" w:hAnsi="Times New Roman" w:cs="Times New Roman"/>
          <w:sz w:val="24"/>
          <w:szCs w:val="28"/>
          <w:lang w:eastAsia="zh-CN"/>
        </w:rPr>
      </w:pPr>
      <w:r>
        <w:rPr>
          <w:rFonts w:hint="default" w:ascii="Times New Roman" w:hAnsi="Times New Roman" w:cs="Times New Roman"/>
          <w:color w:val="auto"/>
          <w:sz w:val="24"/>
        </w:rPr>
        <w:t>由估算可知</w:t>
      </w:r>
      <w:r>
        <w:rPr>
          <w:rFonts w:hint="default" w:ascii="Times New Roman" w:hAnsi="Times New Roman" w:cs="Times New Roman"/>
          <w:color w:val="auto"/>
          <w:sz w:val="24"/>
          <w:lang w:val="en-US" w:eastAsia="zh-CN"/>
        </w:rPr>
        <w:t>甲醇溶液</w:t>
      </w:r>
      <w:r>
        <w:rPr>
          <w:rFonts w:hint="default" w:ascii="Times New Roman" w:hAnsi="Times New Roman" w:cs="Times New Roman"/>
          <w:color w:val="auto"/>
          <w:sz w:val="24"/>
        </w:rPr>
        <w:t>泄漏速度为</w:t>
      </w:r>
      <w:r>
        <w:rPr>
          <w:rFonts w:hint="default" w:ascii="Times New Roman" w:hAnsi="Times New Roman" w:cs="Times New Roman"/>
          <w:color w:val="auto"/>
          <w:sz w:val="24"/>
          <w:lang w:val="en-US" w:eastAsia="zh-CN"/>
        </w:rPr>
        <w:t>0.639</w:t>
      </w:r>
      <w:r>
        <w:rPr>
          <w:rFonts w:hint="default" w:ascii="Times New Roman" w:hAnsi="Times New Roman" w:cs="Times New Roman"/>
          <w:color w:val="auto"/>
          <w:sz w:val="24"/>
        </w:rPr>
        <w:t>kg/s，</w:t>
      </w:r>
      <w:r>
        <w:rPr>
          <w:rFonts w:hint="default" w:ascii="Times New Roman" w:hAnsi="Times New Roman" w:cs="Times New Roman"/>
          <w:color w:val="auto"/>
          <w:sz w:val="24"/>
          <w:lang w:val="en-US" w:eastAsia="zh-CN"/>
        </w:rPr>
        <w:t>甲醛溶液</w:t>
      </w:r>
      <w:r>
        <w:rPr>
          <w:rFonts w:hint="default" w:ascii="Times New Roman" w:hAnsi="Times New Roman" w:cs="Times New Roman"/>
          <w:color w:val="auto"/>
          <w:sz w:val="24"/>
        </w:rPr>
        <w:t>泄漏速度为</w:t>
      </w:r>
      <w:r>
        <w:rPr>
          <w:rFonts w:hint="default" w:ascii="Times New Roman" w:hAnsi="Times New Roman" w:cs="Times New Roman"/>
          <w:color w:val="auto"/>
          <w:sz w:val="24"/>
          <w:lang w:val="en-US" w:eastAsia="zh-CN"/>
        </w:rPr>
        <w:t>0.663</w:t>
      </w:r>
      <w:r>
        <w:rPr>
          <w:rFonts w:hint="default" w:ascii="Times New Roman" w:hAnsi="Times New Roman" w:cs="Times New Roman"/>
          <w:color w:val="auto"/>
          <w:sz w:val="24"/>
        </w:rPr>
        <w:t>kg/s，在10min内泄漏得到控制</w:t>
      </w:r>
      <w:r>
        <w:rPr>
          <w:rFonts w:hint="default" w:ascii="Times New Roman" w:hAnsi="Times New Roman" w:cs="Times New Roman"/>
          <w:color w:val="auto"/>
          <w:sz w:val="24"/>
          <w:lang w:val="en-US" w:eastAsia="zh-CN"/>
        </w:rPr>
        <w:t>，甲醇溶液</w:t>
      </w:r>
      <w:r>
        <w:rPr>
          <w:rFonts w:hint="default" w:ascii="Times New Roman" w:hAnsi="Times New Roman" w:cs="Times New Roman"/>
          <w:color w:val="auto"/>
          <w:sz w:val="24"/>
          <w:lang w:eastAsia="zh-CN"/>
        </w:rPr>
        <w:t>泄漏量为</w:t>
      </w:r>
      <w:r>
        <w:rPr>
          <w:rFonts w:hint="default" w:ascii="Times New Roman" w:hAnsi="Times New Roman" w:cs="Times New Roman"/>
          <w:color w:val="auto"/>
          <w:sz w:val="24"/>
          <w:lang w:val="en-US" w:eastAsia="zh-CN"/>
        </w:rPr>
        <w:t>0.383t</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 xml:space="preserve">0.485 </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甲醛溶液</w:t>
      </w:r>
      <w:r>
        <w:rPr>
          <w:rFonts w:hint="default" w:ascii="Times New Roman" w:hAnsi="Times New Roman" w:cs="Times New Roman"/>
          <w:color w:val="auto"/>
          <w:sz w:val="24"/>
          <w:lang w:eastAsia="zh-CN"/>
        </w:rPr>
        <w:t>泄漏量为</w:t>
      </w:r>
      <w:r>
        <w:rPr>
          <w:rFonts w:hint="default" w:ascii="Times New Roman" w:hAnsi="Times New Roman" w:cs="Times New Roman"/>
          <w:color w:val="auto"/>
          <w:sz w:val="24"/>
          <w:lang w:val="en-US" w:eastAsia="zh-CN"/>
        </w:rPr>
        <w:t>0.398t</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0.485</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泄漏的甲醛溶液全部收集在围堰内，泄露溶液在围堰内形成液面高度为1mm的液池，甲醇泄漏</w:t>
      </w:r>
      <w:r>
        <w:rPr>
          <w:rFonts w:hint="default" w:ascii="Times New Roman" w:hAnsi="Times New Roman" w:cs="Times New Roman"/>
          <w:color w:val="auto"/>
        </w:rPr>
        <w:t>液池</w:t>
      </w:r>
      <w:r>
        <w:rPr>
          <w:rFonts w:hint="default" w:ascii="Times New Roman" w:hAnsi="Times New Roman" w:cs="Times New Roman"/>
          <w:color w:val="auto"/>
          <w:lang w:val="en-US" w:eastAsia="zh-CN"/>
        </w:rPr>
        <w:t>面积为</w:t>
      </w:r>
      <w:r>
        <w:rPr>
          <w:rFonts w:hint="default" w:ascii="Times New Roman" w:hAnsi="Times New Roman" w:cs="Times New Roman"/>
          <w:color w:val="auto"/>
          <w:sz w:val="24"/>
          <w:lang w:val="en-US" w:eastAsia="zh-CN"/>
        </w:rPr>
        <w:t>485</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2</w:t>
      </w:r>
      <w:r>
        <w:rPr>
          <w:rFonts w:hint="default" w:ascii="Times New Roman" w:hAnsi="Times New Roman" w:cs="Times New Roman"/>
          <w:color w:val="auto"/>
        </w:rPr>
        <w:t>（液池半径</w:t>
      </w:r>
      <w:r>
        <w:rPr>
          <w:rFonts w:hint="default" w:ascii="Times New Roman" w:hAnsi="Times New Roman" w:cs="Times New Roman"/>
          <w:color w:val="auto"/>
          <w:lang w:val="en-US" w:eastAsia="zh-CN"/>
        </w:rPr>
        <w:t>12.4</w:t>
      </w:r>
      <w:r>
        <w:rPr>
          <w:rFonts w:hint="default" w:ascii="Times New Roman" w:hAnsi="Times New Roman" w:cs="Times New Roman"/>
          <w:color w:val="auto"/>
        </w:rPr>
        <w:t>m）</w:t>
      </w:r>
      <w:r>
        <w:rPr>
          <w:rFonts w:hint="default" w:ascii="Times New Roman" w:hAnsi="Times New Roman" w:cs="Times New Roman"/>
          <w:color w:val="auto"/>
          <w:lang w:eastAsia="zh-CN"/>
        </w:rPr>
        <w:t>，</w:t>
      </w:r>
      <w:r>
        <w:rPr>
          <w:rFonts w:hint="default" w:ascii="Times New Roman" w:hAnsi="Times New Roman" w:cs="Times New Roman"/>
          <w:color w:val="auto"/>
          <w:sz w:val="24"/>
          <w:lang w:val="en-US" w:eastAsia="zh-CN"/>
        </w:rPr>
        <w:t>甲醛泄漏</w:t>
      </w:r>
      <w:r>
        <w:rPr>
          <w:rFonts w:hint="default" w:ascii="Times New Roman" w:hAnsi="Times New Roman" w:cs="Times New Roman"/>
          <w:color w:val="auto"/>
        </w:rPr>
        <w:t>液池</w:t>
      </w:r>
      <w:r>
        <w:rPr>
          <w:rFonts w:hint="default" w:ascii="Times New Roman" w:hAnsi="Times New Roman" w:cs="Times New Roman"/>
          <w:color w:val="auto"/>
          <w:lang w:val="en-US" w:eastAsia="zh-CN"/>
        </w:rPr>
        <w:t>面积为</w:t>
      </w:r>
      <w:r>
        <w:rPr>
          <w:rFonts w:hint="default" w:ascii="Times New Roman" w:hAnsi="Times New Roman" w:cs="Times New Roman"/>
          <w:color w:val="auto"/>
          <w:sz w:val="24"/>
          <w:lang w:val="en-US" w:eastAsia="zh-CN"/>
        </w:rPr>
        <w:t>485</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2</w:t>
      </w:r>
      <w:r>
        <w:rPr>
          <w:rFonts w:hint="default" w:ascii="Times New Roman" w:hAnsi="Times New Roman" w:cs="Times New Roman"/>
          <w:color w:val="auto"/>
        </w:rPr>
        <w:t>（液池半径</w:t>
      </w:r>
      <w:r>
        <w:rPr>
          <w:rFonts w:hint="default" w:ascii="Times New Roman" w:hAnsi="Times New Roman" w:cs="Times New Roman"/>
          <w:color w:val="auto"/>
          <w:lang w:val="en-US" w:eastAsia="zh-CN"/>
        </w:rPr>
        <w:t>12.4</w:t>
      </w:r>
      <w:r>
        <w:rPr>
          <w:rFonts w:hint="default" w:ascii="Times New Roman" w:hAnsi="Times New Roman" w:cs="Times New Roman"/>
          <w:color w:val="auto"/>
        </w:rPr>
        <w:t>m）</w:t>
      </w:r>
      <w:r>
        <w:rPr>
          <w:rFonts w:hint="default" w:ascii="Times New Roman" w:hAnsi="Times New Roman" w:cs="Times New Roman"/>
          <w:color w:val="auto"/>
          <w:sz w:val="24"/>
          <w:szCs w:val="28"/>
          <w:lang w:eastAsia="zh-CN"/>
        </w:rPr>
        <w:t>。</w:t>
      </w:r>
    </w:p>
    <w:p>
      <w:pPr>
        <w:bidi w:val="0"/>
        <w:rPr>
          <w:rFonts w:hint="default" w:ascii="Times New Roman" w:hAnsi="Times New Roman" w:cs="Times New Roman"/>
        </w:rPr>
      </w:pPr>
      <w:r>
        <w:rPr>
          <w:rFonts w:hint="default" w:ascii="Times New Roman" w:hAnsi="Times New Roman" w:cs="Times New Roman"/>
          <w:sz w:val="24"/>
          <w:szCs w:val="28"/>
        </w:rPr>
        <w:t>由于甲醇、37%甲醛溶液常温下为液态，因此，当贮罐发生泄漏时泄漏的甲醛溶液、甲醇将在贮罐围堰内形成液池。其蒸发量按照《建设项目环境风险评价导则》（HJ169-2018）附录 F 中推荐的泄漏液体蒸发量计算公式计算。甲醇、甲醛物质贮存是常温常压贮存，其沸点高于环境温度，因此，只计质量蒸发部分</w:t>
      </w:r>
      <w:r>
        <w:rPr>
          <w:rFonts w:hint="default" w:ascii="Times New Roman" w:hAnsi="Times New Roman" w:cs="Times New Roman"/>
          <w:lang w:eastAsia="zh-CN"/>
        </w:rPr>
        <w:t>。</w:t>
      </w:r>
      <w:r>
        <w:rPr>
          <w:rFonts w:hint="default" w:ascii="Times New Roman" w:hAnsi="Times New Roman" w:cs="Times New Roman"/>
        </w:rPr>
        <w:t>计算公式为：</w:t>
      </w:r>
    </w:p>
    <w:p>
      <w:pPr>
        <w:pStyle w:val="54"/>
        <w:ind w:firstLine="480"/>
        <w:jc w:val="center"/>
        <w:rPr>
          <w:rFonts w:hint="default" w:ascii="Times New Roman" w:hAnsi="Times New Roman" w:eastAsia="宋体" w:cs="Times New Roman"/>
          <w:color w:val="FF0000"/>
          <w:lang w:eastAsia="zh-CN"/>
        </w:rPr>
      </w:pPr>
      <w:r>
        <w:rPr>
          <w:rFonts w:hint="default" w:ascii="Times New Roman" w:hAnsi="Times New Roman" w:eastAsia="宋体" w:cs="Times New Roman"/>
          <w:color w:val="FF0000"/>
          <w:lang w:eastAsia="zh-CN"/>
        </w:rPr>
        <w:drawing>
          <wp:inline distT="0" distB="0" distL="114300" distR="114300">
            <wp:extent cx="3038475" cy="751840"/>
            <wp:effectExtent l="0" t="0" r="9525" b="10160"/>
            <wp:docPr id="13" name="图片 13" descr="1656402808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56402808709"/>
                    <pic:cNvPicPr>
                      <a:picLocks noChangeAspect="1"/>
                    </pic:cNvPicPr>
                  </pic:nvPicPr>
                  <pic:blipFill>
                    <a:blip r:embed="rId17"/>
                    <a:srcRect t="26914"/>
                    <a:stretch>
                      <a:fillRect/>
                    </a:stretch>
                  </pic:blipFill>
                  <pic:spPr>
                    <a:xfrm>
                      <a:off x="0" y="0"/>
                      <a:ext cx="3038475" cy="751840"/>
                    </a:xfrm>
                    <a:prstGeom prst="rect">
                      <a:avLst/>
                    </a:prstGeom>
                  </pic:spPr>
                </pic:pic>
              </a:graphicData>
            </a:graphic>
          </wp:inline>
        </w:drawing>
      </w:r>
    </w:p>
    <w:p>
      <w:pPr>
        <w:pStyle w:val="54"/>
        <w:ind w:firstLine="480"/>
        <w:rPr>
          <w:rFonts w:hint="default" w:ascii="Times New Roman" w:hAnsi="Times New Roman" w:cs="Times New Roman"/>
          <w:color w:val="auto"/>
        </w:rPr>
      </w:pPr>
      <w:r>
        <w:rPr>
          <w:rFonts w:hint="default" w:ascii="Times New Roman" w:hAnsi="Times New Roman" w:cs="Times New Roman"/>
          <w:color w:val="auto"/>
        </w:rPr>
        <w:t>式中：Q</w:t>
      </w:r>
      <w:r>
        <w:rPr>
          <w:rFonts w:hint="default" w:ascii="Times New Roman" w:hAnsi="Times New Roman" w:cs="Times New Roman"/>
          <w:color w:val="auto"/>
          <w:vertAlign w:val="subscript"/>
        </w:rPr>
        <w:t>3</w:t>
      </w:r>
      <w:r>
        <w:rPr>
          <w:rFonts w:hint="default" w:ascii="Times New Roman" w:hAnsi="Times New Roman" w:cs="Times New Roman"/>
          <w:color w:val="auto"/>
        </w:rPr>
        <w:t>——质量蒸发速度，kg/s（</w:t>
      </w:r>
      <w:r>
        <w:rPr>
          <w:rFonts w:hint="default" w:ascii="Times New Roman" w:hAnsi="Times New Roman" w:cs="Times New Roman"/>
          <w:color w:val="auto"/>
          <w:lang w:val="en-US" w:eastAsia="zh-CN"/>
        </w:rPr>
        <w:t>选取最不利气象条件，稳定度F</w:t>
      </w:r>
      <w:r>
        <w:rPr>
          <w:rFonts w:hint="default" w:ascii="Times New Roman" w:hAnsi="Times New Roman" w:cs="Times New Roman"/>
          <w:color w:val="auto"/>
        </w:rPr>
        <w:t>）；</w:t>
      </w:r>
    </w:p>
    <w:p>
      <w:pPr>
        <w:pStyle w:val="54"/>
        <w:ind w:firstLine="480"/>
        <w:rPr>
          <w:rFonts w:hint="default" w:ascii="Times New Roman" w:hAnsi="Times New Roman" w:cs="Times New Roman"/>
          <w:color w:val="auto"/>
        </w:rPr>
      </w:pPr>
      <w:r>
        <w:rPr>
          <w:rFonts w:hint="default" w:ascii="Times New Roman" w:hAnsi="Times New Roman" w:cs="Times New Roman"/>
          <w:color w:val="auto"/>
        </w:rPr>
        <w:t xml:space="preserve">      a，n——大气稳定度系数，（按</w:t>
      </w:r>
      <w:r>
        <w:rPr>
          <w:rFonts w:hint="default" w:ascii="Times New Roman" w:hAnsi="Times New Roman" w:cs="Times New Roman"/>
          <w:color w:val="auto"/>
          <w:lang w:val="en-US" w:eastAsia="zh-CN"/>
        </w:rPr>
        <w:t>稳定度F</w:t>
      </w:r>
      <w:r>
        <w:rPr>
          <w:rFonts w:hint="default" w:ascii="Times New Roman" w:hAnsi="Times New Roman" w:cs="Times New Roman"/>
          <w:color w:val="auto"/>
        </w:rPr>
        <w:t>计算，a＝</w:t>
      </w:r>
      <w:r>
        <w:rPr>
          <w:rFonts w:hint="default" w:ascii="Times New Roman" w:hAnsi="Times New Roman" w:cs="Times New Roman"/>
          <w:color w:val="auto"/>
          <w:lang w:val="en-US" w:eastAsia="zh-CN"/>
        </w:rPr>
        <w:t>5.285</w:t>
      </w:r>
      <w:r>
        <w:rPr>
          <w:rFonts w:hint="default" w:ascii="Times New Roman" w:hAnsi="Times New Roman" w:cs="Times New Roman"/>
          <w:color w:val="auto"/>
        </w:rPr>
        <w:t>×10</w:t>
      </w:r>
      <w:r>
        <w:rPr>
          <w:rFonts w:hint="default" w:ascii="Times New Roman" w:hAnsi="Times New Roman" w:cs="Times New Roman"/>
          <w:color w:val="auto"/>
          <w:vertAlign w:val="superscript"/>
        </w:rPr>
        <w:t>-3</w:t>
      </w:r>
      <w:r>
        <w:rPr>
          <w:rFonts w:hint="default" w:ascii="Times New Roman" w:hAnsi="Times New Roman" w:cs="Times New Roman"/>
          <w:color w:val="auto"/>
        </w:rPr>
        <w:t>，n＝</w:t>
      </w:r>
      <w:r>
        <w:rPr>
          <w:rFonts w:hint="default" w:ascii="Times New Roman" w:hAnsi="Times New Roman" w:cs="Times New Roman"/>
          <w:color w:val="auto"/>
          <w:lang w:val="en-US" w:eastAsia="zh-CN"/>
        </w:rPr>
        <w:t>0.3</w:t>
      </w:r>
      <w:r>
        <w:rPr>
          <w:rFonts w:hint="default" w:ascii="Times New Roman" w:hAnsi="Times New Roman" w:cs="Times New Roman"/>
          <w:color w:val="auto"/>
        </w:rPr>
        <w:t>）；</w:t>
      </w:r>
    </w:p>
    <w:p>
      <w:pPr>
        <w:pStyle w:val="54"/>
        <w:ind w:firstLine="480"/>
        <w:rPr>
          <w:rFonts w:hint="default" w:ascii="Times New Roman" w:hAnsi="Times New Roman" w:cs="Times New Roman"/>
          <w:color w:val="auto"/>
        </w:rPr>
      </w:pPr>
      <w:r>
        <w:rPr>
          <w:rFonts w:hint="default" w:ascii="Times New Roman" w:hAnsi="Times New Roman" w:cs="Times New Roman"/>
          <w:color w:val="auto"/>
        </w:rPr>
        <w:t xml:space="preserve">       p——液体表面蒸气压，Pa（</w:t>
      </w:r>
      <w:r>
        <w:rPr>
          <w:rFonts w:hint="default" w:ascii="Times New Roman" w:hAnsi="Times New Roman" w:cs="Times New Roman"/>
          <w:sz w:val="24"/>
        </w:rPr>
        <w:t>甲醇为16.89kPa、37%甲醛为</w:t>
      </w:r>
      <w:r>
        <w:rPr>
          <w:rFonts w:hint="default" w:ascii="Times New Roman" w:hAnsi="Times New Roman" w:cs="Times New Roman"/>
          <w:sz w:val="24"/>
          <w:lang w:val="en-US" w:eastAsia="zh-CN"/>
        </w:rPr>
        <w:t>194</w:t>
      </w:r>
      <w:r>
        <w:rPr>
          <w:rFonts w:hint="default" w:ascii="Times New Roman" w:hAnsi="Times New Roman" w:cs="Times New Roman"/>
          <w:sz w:val="24"/>
        </w:rPr>
        <w:t>Pa</w:t>
      </w:r>
      <w:r>
        <w:rPr>
          <w:rFonts w:hint="default" w:ascii="Times New Roman" w:hAnsi="Times New Roman" w:cs="Times New Roman"/>
          <w:color w:val="auto"/>
        </w:rPr>
        <w:t>）；</w:t>
      </w:r>
    </w:p>
    <w:p>
      <w:pPr>
        <w:pStyle w:val="54"/>
        <w:ind w:firstLine="480"/>
        <w:rPr>
          <w:rFonts w:hint="default" w:ascii="Times New Roman" w:hAnsi="Times New Roman" w:cs="Times New Roman"/>
          <w:color w:val="auto"/>
        </w:rPr>
      </w:pPr>
      <w:r>
        <w:rPr>
          <w:rFonts w:hint="default" w:ascii="Times New Roman" w:hAnsi="Times New Roman" w:cs="Times New Roman"/>
          <w:color w:val="auto"/>
        </w:rPr>
        <w:t xml:space="preserve">       R——气体常数；J/mol•k，8.314；</w:t>
      </w:r>
    </w:p>
    <w:p>
      <w:pPr>
        <w:pStyle w:val="54"/>
        <w:ind w:firstLine="480"/>
        <w:rPr>
          <w:rFonts w:hint="default" w:ascii="Times New Roman" w:hAnsi="Times New Roman" w:cs="Times New Roman"/>
          <w:color w:val="FF0000"/>
        </w:rPr>
      </w:pPr>
      <w:r>
        <w:rPr>
          <w:rFonts w:hint="default" w:ascii="Times New Roman" w:hAnsi="Times New Roman" w:cs="Times New Roman"/>
          <w:color w:val="FF0000"/>
        </w:rPr>
        <w:t xml:space="preserve">      </w:t>
      </w:r>
      <w:r>
        <w:rPr>
          <w:rFonts w:hint="default" w:ascii="Times New Roman" w:hAnsi="Times New Roman" w:cs="Times New Roman"/>
          <w:color w:val="auto"/>
        </w:rPr>
        <w:t xml:space="preserve"> T</w:t>
      </w:r>
      <w:r>
        <w:rPr>
          <w:rFonts w:hint="default" w:ascii="Times New Roman" w:hAnsi="Times New Roman" w:cs="Times New Roman"/>
          <w:color w:val="auto"/>
          <w:vertAlign w:val="subscript"/>
        </w:rPr>
        <w:t>0</w:t>
      </w:r>
      <w:r>
        <w:rPr>
          <w:rFonts w:hint="default" w:ascii="Times New Roman" w:hAnsi="Times New Roman" w:cs="Times New Roman"/>
          <w:color w:val="auto"/>
        </w:rPr>
        <w:t>——环境温度，k（取298k）；</w:t>
      </w:r>
    </w:p>
    <w:p>
      <w:pPr>
        <w:pStyle w:val="54"/>
        <w:ind w:firstLine="480"/>
        <w:rPr>
          <w:rFonts w:hint="default" w:ascii="Times New Roman" w:hAnsi="Times New Roman" w:eastAsia="宋体" w:cs="Times New Roman"/>
          <w:color w:val="auto"/>
          <w:lang w:val="en-US" w:eastAsia="zh-CN"/>
        </w:rPr>
      </w:pPr>
      <w:r>
        <w:rPr>
          <w:rFonts w:hint="default" w:ascii="Times New Roman" w:hAnsi="Times New Roman" w:cs="Times New Roman"/>
          <w:color w:val="auto"/>
        </w:rPr>
        <w:t xml:space="preserve">       u ——风速，m/s，（取</w:t>
      </w:r>
      <w:r>
        <w:rPr>
          <w:rFonts w:hint="default" w:ascii="Times New Roman" w:hAnsi="Times New Roman" w:cs="Times New Roman"/>
          <w:color w:val="auto"/>
          <w:lang w:val="en-US" w:eastAsia="zh-CN"/>
        </w:rPr>
        <w:t>1.9</w:t>
      </w:r>
      <w:r>
        <w:rPr>
          <w:rFonts w:hint="default" w:ascii="Times New Roman" w:hAnsi="Times New Roman" w:cs="Times New Roman"/>
          <w:color w:val="auto"/>
        </w:rPr>
        <w:t>m/s）；</w:t>
      </w:r>
      <w:r>
        <w:rPr>
          <w:rFonts w:hint="default" w:ascii="Times New Roman" w:hAnsi="Times New Roman" w:cs="Times New Roman"/>
          <w:color w:val="auto"/>
          <w:lang w:val="en-US" w:eastAsia="zh-CN"/>
        </w:rPr>
        <w:t xml:space="preserve"> </w:t>
      </w:r>
    </w:p>
    <w:p>
      <w:pPr>
        <w:pStyle w:val="54"/>
        <w:ind w:firstLine="480"/>
        <w:rPr>
          <w:rFonts w:hint="default" w:ascii="Times New Roman" w:hAnsi="Times New Roman" w:cs="Times New Roman"/>
          <w:color w:val="auto"/>
        </w:rPr>
      </w:pPr>
      <w:r>
        <w:rPr>
          <w:rFonts w:hint="default" w:ascii="Times New Roman" w:hAnsi="Times New Roman" w:cs="Times New Roman"/>
          <w:color w:val="auto"/>
        </w:rPr>
        <w:t xml:space="preserve">       M——物质的摩尔质量，kg/mol；</w:t>
      </w:r>
    </w:p>
    <w:p>
      <w:pPr>
        <w:pStyle w:val="54"/>
        <w:ind w:firstLine="480"/>
        <w:rPr>
          <w:rFonts w:hint="default" w:ascii="Times New Roman" w:hAnsi="Times New Roman" w:cs="Times New Roman"/>
          <w:color w:val="auto"/>
        </w:rPr>
      </w:pPr>
      <w:r>
        <w:rPr>
          <w:rFonts w:hint="default" w:ascii="Times New Roman" w:hAnsi="Times New Roman" w:cs="Times New Roman"/>
          <w:color w:val="auto"/>
        </w:rPr>
        <w:t xml:space="preserve">       r ——液池半径，m（</w:t>
      </w:r>
      <w:r>
        <w:rPr>
          <w:rFonts w:hint="default" w:ascii="Times New Roman" w:hAnsi="Times New Roman" w:cs="Times New Roman"/>
          <w:color w:val="auto"/>
          <w:lang w:val="en-US" w:eastAsia="zh-CN"/>
        </w:rPr>
        <w:t>甲醇</w:t>
      </w:r>
      <w:r>
        <w:rPr>
          <w:rFonts w:hint="default" w:ascii="Times New Roman" w:hAnsi="Times New Roman" w:cs="Times New Roman"/>
          <w:color w:val="auto"/>
        </w:rPr>
        <w:t>取当量半径</w:t>
      </w:r>
      <w:r>
        <w:rPr>
          <w:rFonts w:hint="default" w:ascii="Times New Roman" w:hAnsi="Times New Roman" w:cs="Times New Roman"/>
          <w:color w:val="auto"/>
          <w:lang w:val="en-US" w:eastAsia="zh-CN"/>
        </w:rPr>
        <w:t>12.4</w:t>
      </w:r>
      <w:r>
        <w:rPr>
          <w:rFonts w:hint="default" w:ascii="Times New Roman" w:hAnsi="Times New Roman" w:cs="Times New Roman"/>
          <w:color w:val="auto"/>
        </w:rPr>
        <w:t>m</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甲醛</w:t>
      </w:r>
      <w:r>
        <w:rPr>
          <w:rFonts w:hint="default" w:ascii="Times New Roman" w:hAnsi="Times New Roman" w:cs="Times New Roman"/>
          <w:color w:val="auto"/>
        </w:rPr>
        <w:t>取当量半径</w:t>
      </w:r>
      <w:r>
        <w:rPr>
          <w:rFonts w:hint="default" w:ascii="Times New Roman" w:hAnsi="Times New Roman" w:cs="Times New Roman"/>
          <w:color w:val="auto"/>
          <w:lang w:val="en-US" w:eastAsia="zh-CN"/>
        </w:rPr>
        <w:t>12.4</w:t>
      </w:r>
      <w:r>
        <w:rPr>
          <w:rFonts w:hint="default" w:ascii="Times New Roman" w:hAnsi="Times New Roman" w:cs="Times New Roman"/>
          <w:color w:val="auto"/>
        </w:rPr>
        <w:t>m）。</w:t>
      </w:r>
    </w:p>
    <w:p>
      <w:pPr>
        <w:pStyle w:val="54"/>
        <w:ind w:firstLine="480"/>
        <w:rPr>
          <w:rFonts w:hint="default" w:ascii="Times New Roman" w:hAnsi="Times New Roman" w:cs="Times New Roman"/>
          <w:color w:val="auto"/>
          <w:kern w:val="0"/>
          <w:szCs w:val="28"/>
        </w:rPr>
      </w:pPr>
      <w:r>
        <w:rPr>
          <w:rFonts w:hint="default" w:ascii="Times New Roman" w:hAnsi="Times New Roman" w:cs="Times New Roman"/>
          <w:color w:val="auto"/>
          <w:kern w:val="0"/>
          <w:szCs w:val="28"/>
        </w:rPr>
        <w:t>储罐泄漏的主要源强参数具体见表</w:t>
      </w:r>
      <w:r>
        <w:rPr>
          <w:rFonts w:hint="default" w:ascii="Times New Roman" w:hAnsi="Times New Roman" w:cs="Times New Roman"/>
          <w:color w:val="auto"/>
          <w:kern w:val="0"/>
          <w:szCs w:val="28"/>
          <w:lang w:val="en-US" w:eastAsia="zh-CN"/>
        </w:rPr>
        <w:t>4.2</w:t>
      </w:r>
      <w:r>
        <w:rPr>
          <w:rFonts w:hint="default" w:ascii="Times New Roman" w:hAnsi="Times New Roman" w:cs="Times New Roman"/>
          <w:color w:val="auto"/>
          <w:kern w:val="0"/>
          <w:szCs w:val="28"/>
        </w:rPr>
        <w:t>-2。</w:t>
      </w:r>
    </w:p>
    <w:p>
      <w:pPr>
        <w:pStyle w:val="57"/>
        <w:rPr>
          <w:rFonts w:hint="default" w:ascii="Times New Roman" w:hAnsi="Times New Roman" w:cs="Times New Roman"/>
          <w:color w:val="auto"/>
        </w:rPr>
      </w:pPr>
      <w:bookmarkStart w:id="93" w:name="_Hlk51352384"/>
      <w:r>
        <w:rPr>
          <w:rFonts w:hint="default" w:ascii="Times New Roman" w:hAnsi="Times New Roman" w:cs="Times New Roman"/>
          <w:color w:val="auto"/>
        </w:rPr>
        <w:t>表</w:t>
      </w:r>
      <w:r>
        <w:rPr>
          <w:rFonts w:hint="default" w:ascii="Times New Roman" w:hAnsi="Times New Roman" w:cs="Times New Roman"/>
          <w:color w:val="auto"/>
          <w:lang w:val="en-US" w:eastAsia="zh-CN"/>
        </w:rPr>
        <w:t>4.2</w:t>
      </w:r>
      <w:r>
        <w:rPr>
          <w:rFonts w:hint="default" w:ascii="Times New Roman" w:hAnsi="Times New Roman" w:cs="Times New Roman"/>
          <w:color w:val="auto"/>
        </w:rPr>
        <w:t>-2  储罐泄漏事故源项强度参数一览表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671"/>
        <w:gridCol w:w="1695"/>
        <w:gridCol w:w="1583"/>
        <w:gridCol w:w="1184"/>
        <w:gridCol w:w="1302"/>
        <w:gridCol w:w="1332"/>
        <w:gridCol w:w="113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28" w:hRule="atLeast"/>
          <w:jc w:val="center"/>
        </w:trPr>
        <w:tc>
          <w:tcPr>
            <w:tcW w:w="377" w:type="pct"/>
            <w:tcBorders>
              <w:top w:val="single" w:color="auto" w:sz="12" w:space="0"/>
              <w:left w:val="nil"/>
              <w:bottom w:val="single" w:color="auto" w:sz="6" w:space="0"/>
              <w:right w:val="single" w:color="auto" w:sz="6" w:space="0"/>
            </w:tcBorders>
            <w:noWrap w:val="0"/>
            <w:vAlign w:val="center"/>
          </w:tcPr>
          <w:p>
            <w:pPr>
              <w:pStyle w:val="58"/>
              <w:rPr>
                <w:rFonts w:hint="default" w:ascii="Times New Roman" w:hAnsi="Times New Roman" w:cs="Times New Roman"/>
                <w:color w:val="auto"/>
              </w:rPr>
            </w:pPr>
            <w:r>
              <w:rPr>
                <w:rFonts w:hint="default" w:ascii="Times New Roman" w:hAnsi="Times New Roman" w:cs="Times New Roman"/>
                <w:color w:val="auto"/>
              </w:rPr>
              <w:t>物料</w:t>
            </w:r>
          </w:p>
        </w:tc>
        <w:tc>
          <w:tcPr>
            <w:tcW w:w="952" w:type="pct"/>
            <w:tcBorders>
              <w:top w:val="single" w:color="auto" w:sz="12" w:space="0"/>
              <w:left w:val="single" w:color="auto" w:sz="6" w:space="0"/>
              <w:bottom w:val="single" w:color="auto" w:sz="6" w:space="0"/>
              <w:right w:val="single" w:color="auto" w:sz="6" w:space="0"/>
            </w:tcBorders>
            <w:noWrap w:val="0"/>
            <w:vAlign w:val="center"/>
          </w:tcPr>
          <w:p>
            <w:pPr>
              <w:pStyle w:val="58"/>
              <w:rPr>
                <w:rFonts w:hint="default" w:ascii="Times New Roman" w:hAnsi="Times New Roman" w:eastAsia="宋体" w:cs="Times New Roman"/>
                <w:color w:val="auto"/>
              </w:rPr>
            </w:pPr>
            <w:r>
              <w:rPr>
                <w:rFonts w:hint="default" w:ascii="Times New Roman" w:hAnsi="Times New Roman" w:eastAsia="宋体" w:cs="Times New Roman"/>
                <w:color w:val="auto"/>
              </w:rPr>
              <w:t>M（g/mol）</w:t>
            </w:r>
          </w:p>
        </w:tc>
        <w:tc>
          <w:tcPr>
            <w:tcW w:w="889" w:type="pct"/>
            <w:tcBorders>
              <w:top w:val="single" w:color="auto" w:sz="12" w:space="0"/>
              <w:left w:val="single" w:color="auto" w:sz="6" w:space="0"/>
              <w:bottom w:val="single" w:color="auto" w:sz="6" w:space="0"/>
              <w:right w:val="single" w:color="auto" w:sz="6" w:space="0"/>
            </w:tcBorders>
            <w:noWrap w:val="0"/>
            <w:vAlign w:val="center"/>
          </w:tcPr>
          <w:p>
            <w:pPr>
              <w:pStyle w:val="58"/>
              <w:rPr>
                <w:rFonts w:hint="default" w:ascii="Times New Roman" w:hAnsi="Times New Roman" w:cs="Times New Roman"/>
                <w:color w:val="auto"/>
              </w:rPr>
            </w:pPr>
            <w:r>
              <w:rPr>
                <w:rFonts w:hint="default" w:ascii="Times New Roman" w:hAnsi="Times New Roman" w:cs="Times New Roman"/>
                <w:color w:val="auto"/>
              </w:rPr>
              <w:t>泄漏时间（min）</w:t>
            </w:r>
          </w:p>
        </w:tc>
        <w:tc>
          <w:tcPr>
            <w:tcW w:w="665" w:type="pct"/>
            <w:tcBorders>
              <w:top w:val="single" w:color="auto" w:sz="12" w:space="0"/>
              <w:left w:val="single" w:color="auto" w:sz="6" w:space="0"/>
              <w:bottom w:val="single" w:color="auto" w:sz="6" w:space="0"/>
              <w:right w:val="single" w:color="auto" w:sz="6" w:space="0"/>
            </w:tcBorders>
            <w:noWrap w:val="0"/>
            <w:vAlign w:val="center"/>
          </w:tcPr>
          <w:p>
            <w:pPr>
              <w:pStyle w:val="58"/>
              <w:rPr>
                <w:rFonts w:hint="default" w:ascii="Times New Roman" w:hAnsi="Times New Roman" w:cs="Times New Roman"/>
                <w:color w:val="auto"/>
              </w:rPr>
            </w:pPr>
            <w:r>
              <w:rPr>
                <w:rFonts w:hint="default" w:ascii="Times New Roman" w:hAnsi="Times New Roman" w:cs="Times New Roman"/>
                <w:color w:val="auto"/>
              </w:rPr>
              <w:t>泄漏速率（kg/s）</w:t>
            </w:r>
          </w:p>
        </w:tc>
        <w:tc>
          <w:tcPr>
            <w:tcW w:w="731" w:type="pct"/>
            <w:tcBorders>
              <w:top w:val="single" w:color="auto" w:sz="12" w:space="0"/>
              <w:left w:val="single" w:color="auto" w:sz="6" w:space="0"/>
              <w:bottom w:val="single" w:color="auto" w:sz="6" w:space="0"/>
              <w:right w:val="single" w:color="auto" w:sz="6" w:space="0"/>
            </w:tcBorders>
            <w:noWrap w:val="0"/>
            <w:vAlign w:val="center"/>
          </w:tcPr>
          <w:p>
            <w:pPr>
              <w:pStyle w:val="58"/>
              <w:rPr>
                <w:rFonts w:hint="default" w:ascii="Times New Roman" w:hAnsi="Times New Roman" w:cs="Times New Roman"/>
                <w:color w:val="auto"/>
              </w:rPr>
            </w:pPr>
            <w:r>
              <w:rPr>
                <w:rFonts w:hint="default" w:ascii="Times New Roman" w:hAnsi="Times New Roman" w:cs="Times New Roman"/>
                <w:color w:val="auto"/>
              </w:rPr>
              <w:t>泄漏量</w:t>
            </w:r>
          </w:p>
          <w:p>
            <w:pPr>
              <w:pStyle w:val="58"/>
              <w:rPr>
                <w:rFonts w:hint="default" w:ascii="Times New Roman" w:hAnsi="Times New Roman" w:cs="Times New Roman"/>
                <w:color w:val="auto"/>
              </w:rPr>
            </w:pPr>
            <w:r>
              <w:rPr>
                <w:rFonts w:hint="default" w:ascii="Times New Roman" w:hAnsi="Times New Roman" w:cs="Times New Roman"/>
                <w:color w:val="auto"/>
              </w:rPr>
              <w:t>（</w:t>
            </w:r>
            <w:r>
              <w:rPr>
                <w:rFonts w:hint="eastAsia" w:cs="Times New Roman"/>
                <w:color w:val="auto"/>
                <w:lang w:val="en-US" w:eastAsia="zh-CN"/>
              </w:rPr>
              <w:t>t</w:t>
            </w:r>
            <w:r>
              <w:rPr>
                <w:rFonts w:hint="default" w:ascii="Times New Roman" w:hAnsi="Times New Roman" w:cs="Times New Roman"/>
                <w:color w:val="auto"/>
              </w:rPr>
              <w:t>）</w:t>
            </w:r>
          </w:p>
        </w:tc>
        <w:tc>
          <w:tcPr>
            <w:tcW w:w="748" w:type="pct"/>
            <w:tcBorders>
              <w:top w:val="single" w:color="auto" w:sz="12" w:space="0"/>
              <w:left w:val="single" w:color="auto" w:sz="6" w:space="0"/>
              <w:bottom w:val="single" w:color="auto" w:sz="6" w:space="0"/>
              <w:right w:val="nil"/>
            </w:tcBorders>
            <w:noWrap w:val="0"/>
            <w:vAlign w:val="center"/>
          </w:tcPr>
          <w:p>
            <w:pPr>
              <w:pStyle w:val="58"/>
              <w:rPr>
                <w:rFonts w:hint="default" w:ascii="Times New Roman" w:hAnsi="Times New Roman" w:cs="Times New Roman"/>
                <w:color w:val="auto"/>
              </w:rPr>
            </w:pPr>
            <w:r>
              <w:rPr>
                <w:rFonts w:hint="default" w:ascii="Times New Roman" w:hAnsi="Times New Roman" w:cs="Times New Roman"/>
                <w:color w:val="auto"/>
              </w:rPr>
              <w:t>蒸发速率（kg/s）</w:t>
            </w:r>
          </w:p>
        </w:tc>
        <w:tc>
          <w:tcPr>
            <w:tcW w:w="634" w:type="pct"/>
            <w:tcBorders>
              <w:top w:val="single" w:color="auto" w:sz="12" w:space="0"/>
              <w:left w:val="single" w:color="auto" w:sz="6" w:space="0"/>
              <w:bottom w:val="single" w:color="auto" w:sz="6" w:space="0"/>
              <w:right w:val="nil"/>
            </w:tcBorders>
            <w:noWrap w:val="0"/>
            <w:vAlign w:val="center"/>
          </w:tcPr>
          <w:p>
            <w:pPr>
              <w:pStyle w:val="58"/>
              <w:rPr>
                <w:rFonts w:hint="default" w:ascii="Times New Roman" w:hAnsi="Times New Roman" w:cs="Times New Roman"/>
                <w:color w:val="auto"/>
              </w:rPr>
            </w:pPr>
            <w:r>
              <w:rPr>
                <w:rFonts w:hint="default" w:ascii="Times New Roman" w:hAnsi="Times New Roman" w:cs="Times New Roman"/>
                <w:color w:val="auto"/>
              </w:rPr>
              <w:t>蒸发量（kg）</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9" w:hRule="atLeast"/>
          <w:jc w:val="center"/>
        </w:trPr>
        <w:tc>
          <w:tcPr>
            <w:tcW w:w="377" w:type="pct"/>
            <w:tcBorders>
              <w:top w:val="single" w:color="auto" w:sz="12" w:space="0"/>
              <w:left w:val="nil"/>
              <w:bottom w:val="single" w:color="auto" w:sz="6" w:space="0"/>
              <w:right w:val="single" w:color="auto" w:sz="6" w:space="0"/>
            </w:tcBorders>
            <w:noWrap w:val="0"/>
            <w:vAlign w:val="center"/>
          </w:tcPr>
          <w:p>
            <w:pPr>
              <w:pStyle w:val="58"/>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甲醇</w:t>
            </w:r>
          </w:p>
        </w:tc>
        <w:tc>
          <w:tcPr>
            <w:tcW w:w="952" w:type="pct"/>
            <w:tcBorders>
              <w:top w:val="single" w:color="auto" w:sz="12" w:space="0"/>
              <w:left w:val="single" w:color="auto" w:sz="6" w:space="0"/>
              <w:bottom w:val="single" w:color="auto" w:sz="6" w:space="0"/>
              <w:right w:val="single" w:color="auto" w:sz="6" w:space="0"/>
            </w:tcBorders>
            <w:noWrap w:val="0"/>
            <w:vAlign w:val="center"/>
          </w:tcPr>
          <w:p>
            <w:pPr>
              <w:pStyle w:val="58"/>
              <w:rPr>
                <w:rFonts w:hint="default" w:ascii="Times New Roman" w:hAnsi="Times New Roman" w:eastAsia="宋体" w:cs="Times New Roman"/>
                <w:color w:val="auto"/>
              </w:rPr>
            </w:pPr>
            <w:r>
              <w:rPr>
                <w:rFonts w:hint="default" w:ascii="Times New Roman" w:hAnsi="Times New Roman" w:eastAsia="宋体" w:cs="Times New Roman"/>
                <w:color w:val="auto"/>
              </w:rPr>
              <w:t>32</w:t>
            </w:r>
          </w:p>
        </w:tc>
        <w:tc>
          <w:tcPr>
            <w:tcW w:w="889" w:type="pct"/>
            <w:tcBorders>
              <w:top w:val="single" w:color="auto" w:sz="12" w:space="0"/>
              <w:left w:val="single" w:color="auto" w:sz="6" w:space="0"/>
              <w:bottom w:val="single" w:color="auto" w:sz="6" w:space="0"/>
              <w:right w:val="single" w:color="auto" w:sz="6" w:space="0"/>
            </w:tcBorders>
            <w:noWrap w:val="0"/>
            <w:vAlign w:val="center"/>
          </w:tcPr>
          <w:p>
            <w:pPr>
              <w:pStyle w:val="58"/>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w:t>
            </w:r>
          </w:p>
        </w:tc>
        <w:tc>
          <w:tcPr>
            <w:tcW w:w="1184" w:type="dxa"/>
            <w:tcBorders>
              <w:top w:val="single" w:color="auto" w:sz="12" w:space="0"/>
              <w:left w:val="single" w:color="auto" w:sz="6" w:space="0"/>
              <w:bottom w:val="single" w:color="auto" w:sz="6" w:space="0"/>
              <w:right w:val="single" w:color="auto" w:sz="6" w:space="0"/>
            </w:tcBorders>
            <w:noWrap w:val="0"/>
            <w:vAlign w:val="center"/>
          </w:tcPr>
          <w:p>
            <w:pPr>
              <w:pStyle w:val="35"/>
              <w:ind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0.639</w:t>
            </w:r>
          </w:p>
        </w:tc>
        <w:tc>
          <w:tcPr>
            <w:tcW w:w="1302" w:type="dxa"/>
            <w:tcBorders>
              <w:top w:val="single" w:color="auto" w:sz="12" w:space="0"/>
              <w:left w:val="single" w:color="auto" w:sz="6" w:space="0"/>
              <w:bottom w:val="single" w:color="auto" w:sz="6" w:space="0"/>
              <w:right w:val="single" w:color="auto" w:sz="6" w:space="0"/>
            </w:tcBorders>
            <w:noWrap w:val="0"/>
            <w:vAlign w:val="center"/>
          </w:tcPr>
          <w:p>
            <w:pPr>
              <w:pStyle w:val="35"/>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0.383</w:t>
            </w:r>
          </w:p>
        </w:tc>
        <w:tc>
          <w:tcPr>
            <w:tcW w:w="748" w:type="pct"/>
            <w:tcBorders>
              <w:top w:val="single" w:color="auto" w:sz="12" w:space="0"/>
              <w:left w:val="single" w:color="auto" w:sz="6" w:space="0"/>
              <w:bottom w:val="single" w:color="auto" w:sz="6" w:space="0"/>
              <w:right w:val="nil"/>
            </w:tcBorders>
            <w:noWrap w:val="0"/>
            <w:vAlign w:val="center"/>
          </w:tcPr>
          <w:p>
            <w:pPr>
              <w:pStyle w:val="58"/>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0.172</w:t>
            </w:r>
          </w:p>
        </w:tc>
        <w:tc>
          <w:tcPr>
            <w:tcW w:w="634" w:type="pct"/>
            <w:tcBorders>
              <w:top w:val="single" w:color="auto" w:sz="12" w:space="0"/>
              <w:left w:val="single" w:color="auto" w:sz="6" w:space="0"/>
              <w:bottom w:val="single" w:color="auto" w:sz="6" w:space="0"/>
              <w:right w:val="nil"/>
            </w:tcBorders>
            <w:noWrap w:val="0"/>
            <w:vAlign w:val="center"/>
          </w:tcPr>
          <w:p>
            <w:pPr>
              <w:pStyle w:val="58"/>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103.2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34" w:hRule="atLeast"/>
          <w:jc w:val="center"/>
        </w:trPr>
        <w:tc>
          <w:tcPr>
            <w:tcW w:w="377" w:type="pct"/>
            <w:tcBorders>
              <w:top w:val="single" w:color="auto" w:sz="6" w:space="0"/>
              <w:left w:val="nil"/>
              <w:bottom w:val="single" w:color="auto" w:sz="12" w:space="0"/>
              <w:right w:val="single" w:color="auto" w:sz="6" w:space="0"/>
            </w:tcBorders>
            <w:noWrap w:val="0"/>
            <w:vAlign w:val="center"/>
          </w:tcPr>
          <w:p>
            <w:pPr>
              <w:pStyle w:val="58"/>
              <w:rPr>
                <w:rFonts w:hint="default" w:ascii="Times New Roman" w:hAnsi="Times New Roman" w:eastAsia="宋体" w:cs="Times New Roman"/>
                <w:color w:val="auto"/>
                <w:lang w:eastAsia="zh-CN"/>
              </w:rPr>
            </w:pPr>
            <w:r>
              <w:rPr>
                <w:rFonts w:hint="default" w:ascii="Times New Roman" w:hAnsi="Times New Roman" w:cs="Times New Roman"/>
                <w:color w:val="auto"/>
                <w:lang w:eastAsia="zh-CN"/>
              </w:rPr>
              <w:t>甲醛</w:t>
            </w:r>
          </w:p>
        </w:tc>
        <w:tc>
          <w:tcPr>
            <w:tcW w:w="952" w:type="pct"/>
            <w:tcBorders>
              <w:top w:val="single" w:color="auto" w:sz="6" w:space="0"/>
              <w:left w:val="single" w:color="auto" w:sz="6" w:space="0"/>
              <w:bottom w:val="single" w:color="auto" w:sz="12" w:space="0"/>
              <w:right w:val="single" w:color="auto" w:sz="6" w:space="0"/>
            </w:tcBorders>
            <w:noWrap w:val="0"/>
            <w:vAlign w:val="center"/>
          </w:tcPr>
          <w:p>
            <w:pPr>
              <w:pStyle w:val="58"/>
              <w:rPr>
                <w:rFonts w:hint="default" w:ascii="Times New Roman" w:hAnsi="Times New Roman" w:eastAsia="宋体" w:cs="Times New Roman"/>
                <w:color w:val="auto"/>
              </w:rPr>
            </w:pPr>
            <w:r>
              <w:rPr>
                <w:rFonts w:hint="default" w:ascii="Times New Roman" w:hAnsi="Times New Roman" w:eastAsia="宋体" w:cs="Times New Roman"/>
                <w:color w:val="auto"/>
              </w:rPr>
              <w:t>30</w:t>
            </w:r>
          </w:p>
        </w:tc>
        <w:tc>
          <w:tcPr>
            <w:tcW w:w="889" w:type="pct"/>
            <w:tcBorders>
              <w:top w:val="single" w:color="auto" w:sz="6" w:space="0"/>
              <w:left w:val="single" w:color="auto" w:sz="6" w:space="0"/>
              <w:bottom w:val="single" w:color="auto" w:sz="12" w:space="0"/>
              <w:right w:val="single" w:color="auto" w:sz="6" w:space="0"/>
            </w:tcBorders>
            <w:noWrap w:val="0"/>
            <w:vAlign w:val="center"/>
          </w:tcPr>
          <w:p>
            <w:pPr>
              <w:pStyle w:val="58"/>
              <w:rPr>
                <w:rFonts w:hint="default" w:ascii="Times New Roman" w:hAnsi="Times New Roman" w:cs="Times New Roman"/>
                <w:color w:val="auto"/>
              </w:rPr>
            </w:pPr>
            <w:r>
              <w:rPr>
                <w:rFonts w:hint="default" w:ascii="Times New Roman" w:hAnsi="Times New Roman" w:cs="Times New Roman"/>
                <w:color w:val="auto"/>
              </w:rPr>
              <w:t>10</w:t>
            </w:r>
          </w:p>
        </w:tc>
        <w:tc>
          <w:tcPr>
            <w:tcW w:w="1184" w:type="dxa"/>
            <w:tcBorders>
              <w:top w:val="single" w:color="auto" w:sz="6" w:space="0"/>
              <w:left w:val="single" w:color="auto" w:sz="6" w:space="0"/>
              <w:bottom w:val="single" w:color="auto" w:sz="12" w:space="0"/>
              <w:right w:val="single" w:color="auto" w:sz="6" w:space="0"/>
            </w:tcBorders>
            <w:noWrap w:val="0"/>
            <w:vAlign w:val="center"/>
          </w:tcPr>
          <w:p>
            <w:pPr>
              <w:pStyle w:val="35"/>
              <w:ind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0.663</w:t>
            </w:r>
          </w:p>
        </w:tc>
        <w:tc>
          <w:tcPr>
            <w:tcW w:w="1302" w:type="dxa"/>
            <w:tcBorders>
              <w:top w:val="single" w:color="auto" w:sz="6" w:space="0"/>
              <w:left w:val="single" w:color="auto" w:sz="6" w:space="0"/>
              <w:bottom w:val="single" w:color="auto" w:sz="12" w:space="0"/>
              <w:right w:val="single" w:color="auto" w:sz="6" w:space="0"/>
            </w:tcBorders>
            <w:noWrap w:val="0"/>
            <w:vAlign w:val="center"/>
          </w:tcPr>
          <w:p>
            <w:pPr>
              <w:pStyle w:val="35"/>
              <w:ind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rPr>
              <w:t>0.39</w:t>
            </w:r>
            <w:r>
              <w:rPr>
                <w:rFonts w:hint="default" w:ascii="Times New Roman" w:hAnsi="Times New Roman" w:cs="Times New Roman"/>
                <w:color w:val="auto"/>
                <w:lang w:val="en-US" w:eastAsia="zh-CN"/>
              </w:rPr>
              <w:t>8</w:t>
            </w:r>
          </w:p>
        </w:tc>
        <w:tc>
          <w:tcPr>
            <w:tcW w:w="748" w:type="pct"/>
            <w:tcBorders>
              <w:top w:val="single" w:color="auto" w:sz="6" w:space="0"/>
              <w:left w:val="single" w:color="auto" w:sz="6" w:space="0"/>
              <w:bottom w:val="single" w:color="auto" w:sz="12" w:space="0"/>
              <w:right w:val="nil"/>
            </w:tcBorders>
            <w:noWrap w:val="0"/>
            <w:vAlign w:val="center"/>
          </w:tcPr>
          <w:p>
            <w:pPr>
              <w:pStyle w:val="58"/>
              <w:rPr>
                <w:rFonts w:hint="default" w:ascii="Times New Roman" w:hAnsi="Times New Roman" w:cs="Times New Roman"/>
                <w:color w:val="auto"/>
                <w:lang w:val="en-US"/>
              </w:rPr>
            </w:pPr>
            <w:r>
              <w:rPr>
                <w:rFonts w:hint="default" w:ascii="Times New Roman" w:hAnsi="Times New Roman" w:cs="Times New Roman"/>
                <w:color w:val="auto"/>
                <w:lang w:val="en-US" w:eastAsia="zh-CN"/>
              </w:rPr>
              <w:t>0.0019</w:t>
            </w:r>
          </w:p>
        </w:tc>
        <w:tc>
          <w:tcPr>
            <w:tcW w:w="634" w:type="pct"/>
            <w:tcBorders>
              <w:top w:val="single" w:color="auto" w:sz="6" w:space="0"/>
              <w:left w:val="single" w:color="auto" w:sz="6" w:space="0"/>
              <w:bottom w:val="single" w:color="auto" w:sz="12" w:space="0"/>
              <w:right w:val="nil"/>
            </w:tcBorders>
            <w:noWrap w:val="0"/>
            <w:vAlign w:val="center"/>
          </w:tcPr>
          <w:p>
            <w:pPr>
              <w:pStyle w:val="58"/>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1.14</w:t>
            </w:r>
          </w:p>
        </w:tc>
      </w:tr>
      <w:bookmarkEnd w:id="93"/>
    </w:tbl>
    <w:p>
      <w:pPr>
        <w:pStyle w:val="5"/>
        <w:bidi w:val="0"/>
        <w:rPr>
          <w:rFonts w:hint="default" w:ascii="Times New Roman" w:hAnsi="Times New Roman" w:eastAsia="黑体" w:cs="Times New Roman"/>
          <w:color w:val="auto"/>
          <w:szCs w:val="24"/>
          <w:lang w:val="en-US" w:eastAsia="zh-CN"/>
        </w:rPr>
      </w:pPr>
      <w:r>
        <w:rPr>
          <w:rFonts w:hint="default" w:ascii="Times New Roman" w:hAnsi="Times New Roman" w:cs="Times New Roman"/>
          <w:color w:val="auto"/>
        </w:rPr>
        <w:t>4.2.</w:t>
      </w:r>
      <w:r>
        <w:rPr>
          <w:rFonts w:hint="eastAsia" w:ascii="Times New Roman" w:hAnsi="Times New Roman" w:cs="Times New Roman"/>
          <w:color w:val="auto"/>
          <w:lang w:val="en-US" w:eastAsia="zh-CN"/>
        </w:rPr>
        <w:t>2</w:t>
      </w:r>
      <w:r>
        <w:rPr>
          <w:rFonts w:hint="default" w:ascii="Times New Roman" w:hAnsi="Times New Roman" w:cs="Times New Roman"/>
          <w:color w:val="auto"/>
          <w:lang w:val="en-US" w:eastAsia="zh-CN"/>
        </w:rPr>
        <w:t xml:space="preserve"> 火灾爆炸事件源强估算</w:t>
      </w:r>
    </w:p>
    <w:p>
      <w:pPr>
        <w:bidi w:val="0"/>
        <w:rPr>
          <w:rFonts w:hint="default"/>
          <w:lang w:val="en-US" w:eastAsia="zh-CN"/>
        </w:rPr>
      </w:pPr>
      <w:r>
        <w:rPr>
          <w:rFonts w:hint="default"/>
          <w:lang w:val="en-US" w:eastAsia="zh-CN"/>
        </w:rPr>
        <w:t>1、</w:t>
      </w:r>
      <w:r>
        <w:rPr>
          <w:rFonts w:hint="default" w:ascii="Times New Roman" w:hAnsi="Times New Roman" w:eastAsia="黑体" w:cs="Times New Roman"/>
          <w:bCs/>
          <w:color w:val="auto"/>
          <w:kern w:val="2"/>
          <w:sz w:val="24"/>
          <w:szCs w:val="32"/>
          <w:lang w:val="en-US" w:eastAsia="zh-CN" w:bidi="ar-SA"/>
        </w:rPr>
        <w:t>甲醇燃烧次生污染源强计算</w:t>
      </w:r>
    </w:p>
    <w:p>
      <w:pPr>
        <w:adjustRightInd w:val="0"/>
        <w:snapToGrid w:val="0"/>
        <w:spacing w:line="480" w:lineRule="exact"/>
        <w:ind w:firstLine="480" w:firstLineChars="200"/>
        <w:rPr>
          <w:rFonts w:hint="default" w:ascii="Times New Roman" w:hAnsi="Times New Roman" w:cs="Times New Roman"/>
          <w:sz w:val="24"/>
        </w:rPr>
      </w:pPr>
      <w:r>
        <w:rPr>
          <w:rFonts w:hint="default" w:ascii="Times New Roman" w:hAnsi="Times New Roman" w:cs="Times New Roman"/>
          <w:sz w:val="24"/>
        </w:rPr>
        <w:t>项目生产装置或物料储存区的风险物质主要为甲醛、甲醇，该类物质均属于易燃易爆物质，一旦发生泄漏后的燃烧爆炸，物料不完全燃烧产生大量的 CO、CO</w:t>
      </w:r>
      <w:r>
        <w:rPr>
          <w:rFonts w:hint="default" w:ascii="Times New Roman" w:hAnsi="Times New Roman" w:cs="Times New Roman"/>
          <w:sz w:val="24"/>
          <w:vertAlign w:val="subscript"/>
        </w:rPr>
        <w:t>2</w:t>
      </w:r>
      <w:r>
        <w:rPr>
          <w:rFonts w:hint="default" w:ascii="Times New Roman" w:hAnsi="Times New Roman" w:cs="Times New Roman"/>
          <w:sz w:val="24"/>
        </w:rPr>
        <w:t>等有害物质的烟尘，将对周围环境带来较大的影响。</w:t>
      </w:r>
    </w:p>
    <w:p>
      <w:pPr>
        <w:adjustRightInd w:val="0"/>
        <w:snapToGrid w:val="0"/>
        <w:spacing w:line="480" w:lineRule="exact"/>
        <w:ind w:firstLine="480" w:firstLineChars="200"/>
        <w:rPr>
          <w:rFonts w:hint="default" w:ascii="Times New Roman" w:hAnsi="Times New Roman" w:cs="Times New Roman"/>
          <w:sz w:val="24"/>
        </w:rPr>
      </w:pPr>
      <w:r>
        <w:rPr>
          <w:rFonts w:hint="default" w:ascii="Times New Roman" w:hAnsi="Times New Roman" w:cs="Times New Roman"/>
          <w:sz w:val="24"/>
        </w:rPr>
        <w:t>本次评价源强按照1个甲醇储罐泄漏，遇明火形成池火进行计算。</w:t>
      </w:r>
    </w:p>
    <w:p>
      <w:pPr>
        <w:adjustRightInd w:val="0"/>
        <w:snapToGrid w:val="0"/>
        <w:spacing w:line="480" w:lineRule="exact"/>
        <w:ind w:firstLine="480" w:firstLineChars="200"/>
        <w:rPr>
          <w:rFonts w:hint="default" w:ascii="Times New Roman" w:hAnsi="Times New Roman" w:cs="Times New Roman"/>
          <w:sz w:val="24"/>
        </w:rPr>
      </w:pPr>
      <w:r>
        <w:rPr>
          <w:rFonts w:hint="default" w:ascii="Times New Roman" w:hAnsi="Times New Roman" w:cs="Times New Roman"/>
          <w:sz w:val="24"/>
        </w:rPr>
        <w:t>火灾伴生/次生中CO产生量的计算公式为：</w:t>
      </w:r>
    </w:p>
    <w:p>
      <w:pPr>
        <w:adjustRightInd w:val="0"/>
        <w:snapToGrid w:val="0"/>
        <w:spacing w:line="480" w:lineRule="exact"/>
        <w:ind w:firstLine="480" w:firstLineChars="200"/>
        <w:jc w:val="center"/>
        <w:rPr>
          <w:rFonts w:hint="default" w:ascii="Times New Roman" w:hAnsi="Times New Roman" w:cs="Times New Roman"/>
          <w:sz w:val="24"/>
        </w:rPr>
      </w:pPr>
      <w:r>
        <w:rPr>
          <w:rFonts w:hint="default" w:ascii="Times New Roman" w:hAnsi="Times New Roman" w:cs="Times New Roman"/>
          <w:sz w:val="24"/>
        </w:rPr>
        <w:t>Gco =2330qCQ；</w:t>
      </w:r>
    </w:p>
    <w:p>
      <w:pPr>
        <w:adjustRightInd w:val="0"/>
        <w:snapToGrid w:val="0"/>
        <w:spacing w:line="480" w:lineRule="exact"/>
        <w:ind w:firstLine="480" w:firstLineChars="200"/>
        <w:rPr>
          <w:rFonts w:hint="default" w:ascii="Times New Roman" w:hAnsi="Times New Roman" w:cs="Times New Roman"/>
          <w:sz w:val="24"/>
        </w:rPr>
      </w:pPr>
      <w:r>
        <w:rPr>
          <w:rFonts w:hint="default" w:ascii="Times New Roman" w:hAnsi="Times New Roman" w:cs="Times New Roman"/>
          <w:sz w:val="24"/>
        </w:rPr>
        <w:t>式中：Gco -- 氧化碳的产生量，kg/s；</w:t>
      </w:r>
    </w:p>
    <w:p>
      <w:pPr>
        <w:adjustRightInd w:val="0"/>
        <w:snapToGrid w:val="0"/>
        <w:spacing w:line="480" w:lineRule="exact"/>
        <w:ind w:firstLine="1200" w:firstLineChars="500"/>
        <w:rPr>
          <w:rFonts w:hint="default" w:ascii="Times New Roman" w:hAnsi="Times New Roman" w:cs="Times New Roman"/>
          <w:sz w:val="24"/>
        </w:rPr>
      </w:pPr>
      <w:r>
        <w:rPr>
          <w:rFonts w:hint="default" w:ascii="Times New Roman" w:hAnsi="Times New Roman" w:cs="Times New Roman"/>
          <w:sz w:val="24"/>
        </w:rPr>
        <w:t>C -- 物质中碳的质量百分比含量，%，取37.5%。</w:t>
      </w:r>
    </w:p>
    <w:p>
      <w:pPr>
        <w:adjustRightInd w:val="0"/>
        <w:snapToGrid w:val="0"/>
        <w:spacing w:line="480" w:lineRule="exact"/>
        <w:ind w:firstLine="1200" w:firstLineChars="500"/>
        <w:rPr>
          <w:rFonts w:hint="default" w:ascii="Times New Roman" w:hAnsi="Times New Roman" w:cs="Times New Roman"/>
          <w:sz w:val="24"/>
        </w:rPr>
      </w:pPr>
      <w:r>
        <w:rPr>
          <w:rFonts w:hint="default" w:ascii="Times New Roman" w:hAnsi="Times New Roman" w:cs="Times New Roman"/>
          <w:sz w:val="24"/>
        </w:rPr>
        <w:t>q -- 化学不完全燃烧值，%。取1.5%~6%，本次环评取，4%。</w:t>
      </w:r>
    </w:p>
    <w:p>
      <w:pPr>
        <w:adjustRightInd w:val="0"/>
        <w:snapToGrid w:val="0"/>
        <w:spacing w:line="480" w:lineRule="exact"/>
        <w:ind w:firstLine="1200" w:firstLineChars="500"/>
        <w:rPr>
          <w:rFonts w:hint="default" w:ascii="Times New Roman" w:hAnsi="Times New Roman" w:cs="Times New Roman"/>
          <w:sz w:val="24"/>
        </w:rPr>
      </w:pPr>
      <w:r>
        <w:rPr>
          <w:rFonts w:hint="default" w:ascii="Times New Roman" w:hAnsi="Times New Roman" w:cs="Times New Roman"/>
          <w:sz w:val="24"/>
        </w:rPr>
        <w:t>Q -- 参与燃烧的物质量，0.011t/s。</w:t>
      </w:r>
    </w:p>
    <w:p>
      <w:pPr>
        <w:pStyle w:val="55"/>
        <w:ind w:firstLine="480"/>
        <w:rPr>
          <w:rFonts w:hint="default" w:ascii="Times New Roman" w:hAnsi="Times New Roman" w:cs="Times New Roman"/>
        </w:rPr>
      </w:pPr>
      <w:r>
        <w:rPr>
          <w:rFonts w:hint="default" w:ascii="Times New Roman" w:hAnsi="Times New Roman" w:cs="Times New Roman"/>
          <w:sz w:val="24"/>
        </w:rPr>
        <w:t>根据上述公式，得出甲醇泄漏引起火灾爆炸事故时CO产生量为0.38kg/s</w:t>
      </w:r>
      <w:r>
        <w:rPr>
          <w:rFonts w:hint="default" w:ascii="Times New Roman" w:hAnsi="Times New Roman" w:cs="Times New Roman"/>
        </w:rPr>
        <w:t>。</w:t>
      </w:r>
    </w:p>
    <w:p>
      <w:pPr>
        <w:bidi w:val="0"/>
        <w:rPr>
          <w:rFonts w:hint="default"/>
          <w:lang w:val="en-US" w:eastAsia="zh-CN"/>
        </w:rPr>
      </w:pPr>
      <w:bookmarkStart w:id="94" w:name="_Toc21620"/>
      <w:r>
        <w:rPr>
          <w:rFonts w:hint="default"/>
          <w:lang w:val="en-US" w:eastAsia="zh-CN"/>
        </w:rPr>
        <w:t>2、</w:t>
      </w:r>
      <w:r>
        <w:rPr>
          <w:rFonts w:hint="default" w:ascii="Times New Roman" w:hAnsi="Times New Roman" w:eastAsia="黑体" w:cs="Times New Roman"/>
          <w:bCs/>
          <w:color w:val="auto"/>
          <w:kern w:val="2"/>
          <w:sz w:val="24"/>
          <w:szCs w:val="32"/>
          <w:lang w:val="en-US" w:eastAsia="zh-CN" w:bidi="ar-SA"/>
        </w:rPr>
        <w:t>火灾爆炸事故废水源强计算</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参照《化工建设项目环境保护设计规范》（GB50483-2009）和中石化《水体污染防控紧急措施设计导则》的有关要求对事故水池有效容积进行核算如下：</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事故储存设施总有效容积：</w:t>
      </w:r>
    </w:p>
    <w:p>
      <w:pPr>
        <w:spacing w:line="480" w:lineRule="exact"/>
        <w:ind w:firstLine="480" w:firstLineChars="200"/>
        <w:jc w:val="center"/>
        <w:rPr>
          <w:rFonts w:hint="default" w:ascii="Times New Roman" w:hAnsi="Times New Roman" w:cs="Times New Roman"/>
          <w:sz w:val="24"/>
          <w:szCs w:val="24"/>
        </w:rPr>
      </w:pPr>
      <w:r>
        <w:rPr>
          <w:rFonts w:hint="default" w:ascii="Times New Roman" w:hAnsi="Times New Roman" w:cs="Times New Roman"/>
          <w:sz w:val="24"/>
          <w:szCs w:val="24"/>
        </w:rPr>
        <w:t>V</w:t>
      </w:r>
      <w:r>
        <w:rPr>
          <w:rFonts w:hint="default" w:ascii="Times New Roman" w:hAnsi="Times New Roman" w:cs="Times New Roman"/>
          <w:sz w:val="24"/>
          <w:szCs w:val="24"/>
          <w:vertAlign w:val="subscript"/>
        </w:rPr>
        <w:t>总</w:t>
      </w:r>
      <w:r>
        <w:rPr>
          <w:rFonts w:hint="default" w:ascii="Times New Roman" w:hAnsi="Times New Roman" w:cs="Times New Roman"/>
          <w:sz w:val="24"/>
          <w:szCs w:val="24"/>
        </w:rPr>
        <w:t>=（V</w:t>
      </w:r>
      <w:r>
        <w:rPr>
          <w:rFonts w:hint="default" w:ascii="Times New Roman" w:hAnsi="Times New Roman" w:cs="Times New Roman"/>
          <w:sz w:val="24"/>
          <w:szCs w:val="24"/>
          <w:vertAlign w:val="subscript"/>
        </w:rPr>
        <w:t>1</w:t>
      </w:r>
      <w:r>
        <w:rPr>
          <w:rFonts w:hint="default" w:ascii="Times New Roman" w:hAnsi="Times New Roman" w:cs="Times New Roman"/>
          <w:sz w:val="24"/>
          <w:szCs w:val="24"/>
        </w:rPr>
        <w:t>+V</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-V</w:t>
      </w:r>
      <w:r>
        <w:rPr>
          <w:rFonts w:hint="default" w:ascii="Times New Roman" w:hAnsi="Times New Roman" w:cs="Times New Roman"/>
          <w:sz w:val="24"/>
          <w:szCs w:val="24"/>
          <w:vertAlign w:val="subscript"/>
        </w:rPr>
        <w:t>3</w:t>
      </w:r>
      <w:r>
        <w:rPr>
          <w:rFonts w:hint="default" w:ascii="Times New Roman" w:hAnsi="Times New Roman" w:cs="Times New Roman"/>
          <w:sz w:val="24"/>
          <w:szCs w:val="24"/>
        </w:rPr>
        <w:t>）</w:t>
      </w:r>
      <w:r>
        <w:rPr>
          <w:rFonts w:hint="default" w:ascii="Times New Roman" w:hAnsi="Times New Roman" w:cs="Times New Roman"/>
          <w:sz w:val="24"/>
          <w:szCs w:val="24"/>
          <w:vertAlign w:val="subscript"/>
        </w:rPr>
        <w:t>max</w:t>
      </w:r>
      <w:r>
        <w:rPr>
          <w:rFonts w:hint="default" w:ascii="Times New Roman" w:hAnsi="Times New Roman" w:cs="Times New Roman"/>
          <w:sz w:val="24"/>
          <w:szCs w:val="24"/>
        </w:rPr>
        <w:t xml:space="preserve"> +V</w:t>
      </w:r>
      <w:r>
        <w:rPr>
          <w:rFonts w:hint="default" w:ascii="Times New Roman" w:hAnsi="Times New Roman" w:cs="Times New Roman"/>
          <w:sz w:val="24"/>
          <w:szCs w:val="24"/>
          <w:vertAlign w:val="subscript"/>
        </w:rPr>
        <w:t>4</w:t>
      </w:r>
      <w:r>
        <w:rPr>
          <w:rFonts w:hint="default" w:ascii="Times New Roman" w:hAnsi="Times New Roman" w:cs="Times New Roman"/>
          <w:sz w:val="24"/>
          <w:szCs w:val="24"/>
        </w:rPr>
        <w:t>+V</w:t>
      </w:r>
      <w:r>
        <w:rPr>
          <w:rFonts w:hint="default" w:ascii="Times New Roman" w:hAnsi="Times New Roman" w:cs="Times New Roman"/>
          <w:sz w:val="24"/>
          <w:szCs w:val="24"/>
          <w:vertAlign w:val="subscript"/>
        </w:rPr>
        <w:t>5</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V</w:t>
      </w:r>
      <w:r>
        <w:rPr>
          <w:rFonts w:hint="default" w:ascii="Times New Roman" w:hAnsi="Times New Roman" w:cs="Times New Roman"/>
          <w:sz w:val="24"/>
          <w:szCs w:val="24"/>
          <w:vertAlign w:val="subscript"/>
        </w:rPr>
        <w:t>1</w:t>
      </w:r>
      <w:r>
        <w:rPr>
          <w:rFonts w:hint="default" w:ascii="Times New Roman" w:hAnsi="Times New Roman" w:cs="Times New Roman"/>
          <w:sz w:val="24"/>
          <w:szCs w:val="24"/>
        </w:rPr>
        <w:t>——收集系统范围内发生事故的一个罐组或一套装置的物料量，取甲醇储罐容积4000m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V</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——∑Q</w:t>
      </w:r>
      <w:r>
        <w:rPr>
          <w:rFonts w:hint="default" w:ascii="Times New Roman" w:hAnsi="Times New Roman" w:cs="Times New Roman"/>
          <w:sz w:val="24"/>
          <w:szCs w:val="24"/>
          <w:vertAlign w:val="subscript"/>
        </w:rPr>
        <w:t>消</w:t>
      </w:r>
      <w:r>
        <w:rPr>
          <w:rFonts w:hint="default" w:ascii="Times New Roman" w:hAnsi="Times New Roman" w:cs="Times New Roman"/>
          <w:sz w:val="24"/>
          <w:szCs w:val="24"/>
        </w:rPr>
        <w:t>t</w:t>
      </w:r>
      <w:r>
        <w:rPr>
          <w:rFonts w:hint="default" w:ascii="Times New Roman" w:hAnsi="Times New Roman" w:cs="Times New Roman"/>
          <w:sz w:val="24"/>
          <w:szCs w:val="24"/>
          <w:vertAlign w:val="subscript"/>
        </w:rPr>
        <w:t>消</w:t>
      </w:r>
      <w:r>
        <w:rPr>
          <w:rFonts w:hint="default" w:ascii="Times New Roman" w:hAnsi="Times New Roman" w:cs="Times New Roman"/>
          <w:sz w:val="24"/>
          <w:szCs w:val="24"/>
        </w:rPr>
        <w:t>，根据计算为1620m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w:t>
      </w:r>
    </w:p>
    <w:p>
      <w:pPr>
        <w:spacing w:line="48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V</w:t>
      </w:r>
      <w:r>
        <w:rPr>
          <w:rFonts w:hint="default" w:ascii="Times New Roman" w:hAnsi="Times New Roman" w:cs="Times New Roman"/>
          <w:sz w:val="24"/>
          <w:szCs w:val="24"/>
          <w:vertAlign w:val="subscript"/>
        </w:rPr>
        <w:t xml:space="preserve">3 </w:t>
      </w:r>
      <w:r>
        <w:rPr>
          <w:rFonts w:hint="default" w:ascii="Times New Roman" w:hAnsi="Times New Roman" w:cs="Times New Roman"/>
          <w:sz w:val="24"/>
          <w:szCs w:val="24"/>
        </w:rPr>
        <w:t>——发生事故时可以转输到其他储存或处理设施的物料量，甲醇、甲醛罐区围堰内净空容积满足储罐泄露物料暂存量，围堰容积4329m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w:t>
      </w:r>
    </w:p>
    <w:p>
      <w:pPr>
        <w:pStyle w:val="28"/>
        <w:spacing w:after="0" w:line="480" w:lineRule="exact"/>
        <w:ind w:left="0" w:leftChars="0" w:firstLine="480"/>
        <w:rPr>
          <w:rFonts w:hint="default" w:ascii="Times New Roman" w:hAnsi="Times New Roman" w:cs="Times New Roman"/>
        </w:rPr>
      </w:pPr>
      <w:r>
        <w:rPr>
          <w:rFonts w:hint="default" w:ascii="Times New Roman" w:hAnsi="Times New Roman" w:cs="Times New Roman"/>
          <w:sz w:val="24"/>
          <w:szCs w:val="24"/>
        </w:rPr>
        <w:t>V</w:t>
      </w:r>
      <w:r>
        <w:rPr>
          <w:rFonts w:hint="default" w:ascii="Times New Roman" w:hAnsi="Times New Roman" w:cs="Times New Roman"/>
          <w:sz w:val="24"/>
          <w:szCs w:val="24"/>
          <w:vertAlign w:val="subscript"/>
        </w:rPr>
        <w:t>4</w:t>
      </w:r>
      <w:r>
        <w:rPr>
          <w:rFonts w:hint="default" w:ascii="Times New Roman" w:hAnsi="Times New Roman" w:cs="Times New Roman"/>
          <w:sz w:val="24"/>
          <w:szCs w:val="24"/>
        </w:rPr>
        <w:t>——</w:t>
      </w:r>
      <w:r>
        <w:rPr>
          <w:rFonts w:hint="default" w:ascii="Times New Roman" w:hAnsi="Times New Roman" w:eastAsia="宋体" w:cs="Times New Roman"/>
          <w:kern w:val="2"/>
          <w:sz w:val="24"/>
          <w:szCs w:val="24"/>
          <w:lang w:val="en-US" w:eastAsia="zh-CN" w:bidi="ar-SA"/>
        </w:rPr>
        <w:t>发生事故时必须进入该收集系统的生产废水量，取0m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w:t>
      </w:r>
    </w:p>
    <w:p>
      <w:pPr>
        <w:spacing w:line="480" w:lineRule="exact"/>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V</w:t>
      </w:r>
      <w:r>
        <w:rPr>
          <w:rFonts w:hint="default" w:ascii="Times New Roman" w:hAnsi="Times New Roman" w:cs="Times New Roman"/>
          <w:sz w:val="24"/>
          <w:szCs w:val="24"/>
          <w:highlight w:val="none"/>
          <w:vertAlign w:val="subscript"/>
        </w:rPr>
        <w:t>5</w:t>
      </w:r>
      <w:r>
        <w:rPr>
          <w:rFonts w:hint="default" w:ascii="Times New Roman" w:hAnsi="Times New Roman" w:cs="Times New Roman"/>
          <w:sz w:val="24"/>
          <w:szCs w:val="24"/>
          <w:highlight w:val="none"/>
        </w:rPr>
        <w:t>=发生事故时可能进入该收集系统的降雨量；拟建项目已设置初期雨水池，不再考虑进入的降雨量。</w:t>
      </w:r>
    </w:p>
    <w:p>
      <w:pPr>
        <w:adjustRightInd w:val="0"/>
        <w:snapToGrid w:val="0"/>
        <w:spacing w:line="360" w:lineRule="auto"/>
        <w:ind w:firstLine="480" w:firstLineChars="200"/>
        <w:jc w:val="center"/>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V5= q•ψ•F</w:t>
      </w:r>
    </w:p>
    <w:p>
      <w:pPr>
        <w:spacing w:line="480" w:lineRule="exact"/>
        <w:ind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q—降雨强度，mm；</w:t>
      </w:r>
      <w:r>
        <w:rPr>
          <w:rFonts w:hint="default" w:ascii="Times New Roman" w:hAnsi="Times New Roman" w:cs="Times New Roman"/>
          <w:sz w:val="24"/>
          <w:highlight w:val="none"/>
        </w:rPr>
        <w:t>采用枣庄市暴雨强度公式</w:t>
      </w:r>
      <w:r>
        <w:rPr>
          <w:rFonts w:hint="default" w:ascii="Times New Roman" w:hAnsi="Times New Roman" w:cs="Times New Roman"/>
          <w:color w:val="000000"/>
          <w:sz w:val="24"/>
          <w:szCs w:val="24"/>
          <w:highlight w:val="none"/>
        </w:rPr>
        <w:t>；</w:t>
      </w:r>
    </w:p>
    <w:p>
      <w:pPr>
        <w:spacing w:line="480" w:lineRule="exact"/>
        <w:ind w:firstLine="960" w:firstLineChars="400"/>
        <w:jc w:val="center"/>
        <w:rPr>
          <w:rFonts w:hint="default" w:ascii="Times New Roman" w:hAnsi="Times New Roman" w:cs="Times New Roman"/>
          <w:sz w:val="24"/>
          <w:highlight w:val="none"/>
        </w:rPr>
      </w:pPr>
      <w:r>
        <w:rPr>
          <w:rFonts w:hint="default" w:ascii="Times New Roman" w:hAnsi="Times New Roman" w:cs="Times New Roman"/>
          <w:sz w:val="24"/>
          <w:highlight w:val="none"/>
        </w:rPr>
        <w:t>q=1170.206×（1+0.997lgP）/（t+10.328）</w:t>
      </w:r>
      <w:r>
        <w:rPr>
          <w:rFonts w:hint="default" w:ascii="Times New Roman" w:hAnsi="Times New Roman" w:cs="Times New Roman"/>
          <w:sz w:val="24"/>
          <w:highlight w:val="none"/>
          <w:vertAlign w:val="superscript"/>
        </w:rPr>
        <w:t>0.791</w:t>
      </w:r>
    </w:p>
    <w:p>
      <w:pPr>
        <w:autoSpaceDE w:val="0"/>
        <w:autoSpaceDN w:val="0"/>
        <w:adjustRightInd w:val="0"/>
        <w:spacing w:line="480" w:lineRule="exact"/>
        <w:ind w:firstLine="960" w:firstLineChars="400"/>
        <w:rPr>
          <w:rFonts w:hint="default" w:ascii="Times New Roman" w:hAnsi="Times New Roman" w:cs="Times New Roman"/>
          <w:sz w:val="24"/>
          <w:highlight w:val="none"/>
        </w:rPr>
      </w:pPr>
      <w:r>
        <w:rPr>
          <w:rFonts w:hint="default" w:ascii="Times New Roman" w:hAnsi="Times New Roman" w:cs="Times New Roman"/>
          <w:sz w:val="24"/>
          <w:highlight w:val="none"/>
        </w:rPr>
        <w:t>q ——暴雨强度，L/（s·hm</w:t>
      </w:r>
      <w:r>
        <w:rPr>
          <w:rFonts w:hint="default" w:ascii="Times New Roman" w:hAnsi="Times New Roman" w:cs="Times New Roman"/>
          <w:sz w:val="24"/>
          <w:highlight w:val="none"/>
          <w:vertAlign w:val="superscript"/>
        </w:rPr>
        <w:t>2</w:t>
      </w:r>
      <w:r>
        <w:rPr>
          <w:rFonts w:hint="default" w:ascii="Times New Roman" w:hAnsi="Times New Roman" w:cs="Times New Roman"/>
          <w:sz w:val="24"/>
          <w:highlight w:val="none"/>
        </w:rPr>
        <w:t>）；</w:t>
      </w:r>
    </w:p>
    <w:p>
      <w:pPr>
        <w:autoSpaceDE w:val="0"/>
        <w:autoSpaceDN w:val="0"/>
        <w:adjustRightInd w:val="0"/>
        <w:spacing w:line="480" w:lineRule="exact"/>
        <w:ind w:firstLine="960" w:firstLineChars="400"/>
        <w:rPr>
          <w:rFonts w:hint="default" w:ascii="Times New Roman" w:hAnsi="Times New Roman" w:cs="Times New Roman"/>
          <w:sz w:val="24"/>
          <w:highlight w:val="none"/>
        </w:rPr>
      </w:pPr>
      <w:r>
        <w:rPr>
          <w:rFonts w:hint="default" w:ascii="Times New Roman" w:hAnsi="Times New Roman" w:cs="Times New Roman"/>
          <w:sz w:val="24"/>
          <w:highlight w:val="none"/>
        </w:rPr>
        <w:t>P——设计重现期，年；</w:t>
      </w:r>
    </w:p>
    <w:p>
      <w:pPr>
        <w:autoSpaceDE w:val="0"/>
        <w:autoSpaceDN w:val="0"/>
        <w:adjustRightInd w:val="0"/>
        <w:spacing w:line="480" w:lineRule="exact"/>
        <w:ind w:firstLine="960" w:firstLineChars="400"/>
        <w:rPr>
          <w:rFonts w:hint="default" w:ascii="Times New Roman" w:hAnsi="Times New Roman" w:cs="Times New Roman"/>
          <w:sz w:val="24"/>
          <w:highlight w:val="none"/>
        </w:rPr>
      </w:pPr>
      <w:r>
        <w:rPr>
          <w:rFonts w:hint="default" w:ascii="Times New Roman" w:hAnsi="Times New Roman" w:cs="Times New Roman"/>
          <w:sz w:val="24"/>
          <w:highlight w:val="none"/>
        </w:rPr>
        <w:t>t——降雨历时，min；</w:t>
      </w:r>
    </w:p>
    <w:p>
      <w:pPr>
        <w:spacing w:line="480" w:lineRule="exact"/>
        <w:ind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ψ─径流系数，厂区为混凝土地面，取ψ=0.9；</w:t>
      </w:r>
    </w:p>
    <w:p>
      <w:pPr>
        <w:spacing w:line="480" w:lineRule="exact"/>
        <w:ind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F─汇水面积（hm</w:t>
      </w:r>
      <w:r>
        <w:rPr>
          <w:rFonts w:hint="default" w:ascii="Times New Roman" w:hAnsi="Times New Roman" w:cs="Times New Roman"/>
          <w:color w:val="000000"/>
          <w:sz w:val="24"/>
          <w:szCs w:val="24"/>
          <w:highlight w:val="none"/>
          <w:vertAlign w:val="superscript"/>
        </w:rPr>
        <w:t>2</w:t>
      </w:r>
      <w:r>
        <w:rPr>
          <w:rFonts w:hint="default" w:ascii="Times New Roman" w:hAnsi="Times New Roman" w:cs="Times New Roman"/>
          <w:color w:val="000000"/>
          <w:sz w:val="24"/>
          <w:szCs w:val="24"/>
          <w:highlight w:val="none"/>
        </w:rPr>
        <w:t>），根据实际情况，以项目甲醛装置区以及罐区的汇水面积约，即0.9hm</w:t>
      </w:r>
      <w:r>
        <w:rPr>
          <w:rFonts w:hint="default" w:ascii="Times New Roman" w:hAnsi="Times New Roman" w:cs="Times New Roman"/>
          <w:color w:val="000000"/>
          <w:sz w:val="24"/>
          <w:szCs w:val="24"/>
          <w:highlight w:val="none"/>
          <w:vertAlign w:val="superscript"/>
        </w:rPr>
        <w:t>2</w:t>
      </w:r>
      <w:r>
        <w:rPr>
          <w:rFonts w:hint="default" w:ascii="Times New Roman" w:hAnsi="Times New Roman" w:cs="Times New Roman"/>
          <w:color w:val="000000"/>
          <w:sz w:val="24"/>
          <w:szCs w:val="24"/>
          <w:highlight w:val="none"/>
        </w:rPr>
        <w:t>；</w:t>
      </w:r>
    </w:p>
    <w:p>
      <w:pPr>
        <w:spacing w:line="480" w:lineRule="exact"/>
        <w:ind w:firstLine="460" w:firstLineChars="192"/>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highlight w:val="none"/>
        </w:rPr>
        <w:t>前期雨水收集按近年来该区发生暴雨状况下15min的最大降雨量计算（取15mm）。</w:t>
      </w:r>
      <w:r>
        <w:rPr>
          <w:rFonts w:hint="default" w:ascii="Times New Roman" w:hAnsi="Times New Roman" w:cs="Times New Roman"/>
          <w:bCs/>
          <w:color w:val="000000"/>
          <w:sz w:val="24"/>
          <w:szCs w:val="24"/>
          <w:highlight w:val="none"/>
        </w:rPr>
        <w:t>则拟建项目初期雨水量最大值为147m</w:t>
      </w:r>
      <w:r>
        <w:rPr>
          <w:rFonts w:hint="default" w:ascii="Times New Roman" w:hAnsi="Times New Roman" w:cs="Times New Roman"/>
          <w:bCs/>
          <w:color w:val="000000"/>
          <w:sz w:val="24"/>
          <w:szCs w:val="24"/>
          <w:highlight w:val="none"/>
          <w:vertAlign w:val="superscript"/>
        </w:rPr>
        <w:t>3</w:t>
      </w:r>
      <w:r>
        <w:rPr>
          <w:rFonts w:hint="default" w:ascii="Times New Roman" w:hAnsi="Times New Roman" w:cs="Times New Roman"/>
          <w:color w:val="000000"/>
          <w:sz w:val="24"/>
          <w:highlight w:val="none"/>
        </w:rPr>
        <w:t>/次</w:t>
      </w:r>
      <w:r>
        <w:rPr>
          <w:rFonts w:hint="default" w:ascii="Times New Roman" w:hAnsi="Times New Roman" w:cs="Times New Roman"/>
          <w:bCs/>
          <w:color w:val="000000"/>
          <w:sz w:val="24"/>
          <w:szCs w:val="24"/>
          <w:highlight w:val="none"/>
        </w:rPr>
        <w:t>。</w:t>
      </w:r>
    </w:p>
    <w:p>
      <w:pPr>
        <w:spacing w:line="480" w:lineRule="exact"/>
        <w:ind w:firstLine="480" w:firstLineChars="20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根据上述计算公式事故储存设施总有效容积计算见表</w:t>
      </w:r>
      <w:r>
        <w:rPr>
          <w:rFonts w:hint="default" w:ascii="Times New Roman" w:hAnsi="Times New Roman" w:cs="Times New Roman"/>
          <w:color w:val="auto"/>
          <w:lang w:val="en-US" w:eastAsia="zh-CN"/>
        </w:rPr>
        <w:t>4.2</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000000"/>
          <w:sz w:val="24"/>
          <w:szCs w:val="24"/>
          <w:highlight w:val="none"/>
        </w:rPr>
        <w:t>。</w:t>
      </w:r>
    </w:p>
    <w:p>
      <w:pPr>
        <w:pStyle w:val="69"/>
        <w:spacing w:line="480" w:lineRule="exact"/>
        <w:rPr>
          <w:rFonts w:hint="default" w:ascii="Times New Roman" w:hAnsi="Times New Roman" w:cs="Times New Roman"/>
          <w:color w:val="000000"/>
          <w:sz w:val="24"/>
          <w:szCs w:val="24"/>
          <w:highlight w:val="none"/>
        </w:rPr>
      </w:pPr>
      <w:r>
        <w:rPr>
          <w:rFonts w:hint="default" w:ascii="Times New Roman" w:hAnsi="Times New Roman" w:cs="Times New Roman"/>
          <w:color w:val="auto"/>
        </w:rPr>
        <w:t>表</w:t>
      </w:r>
      <w:r>
        <w:rPr>
          <w:rFonts w:hint="default" w:ascii="Times New Roman" w:hAnsi="Times New Roman" w:cs="Times New Roman"/>
          <w:color w:val="auto"/>
          <w:lang w:val="en-US" w:eastAsia="zh-CN"/>
        </w:rPr>
        <w:t>4.2</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000000"/>
          <w:sz w:val="24"/>
          <w:szCs w:val="24"/>
          <w:highlight w:val="none"/>
        </w:rPr>
        <w:t xml:space="preserve">  事故储存设施总有效容积计算一览表</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397"/>
        <w:gridCol w:w="702"/>
        <w:gridCol w:w="1018"/>
        <w:gridCol w:w="5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序号</w:t>
            </w:r>
          </w:p>
        </w:tc>
        <w:tc>
          <w:tcPr>
            <w:tcW w:w="76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项目</w:t>
            </w:r>
          </w:p>
        </w:tc>
        <w:tc>
          <w:tcPr>
            <w:tcW w:w="38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参数</w:t>
            </w:r>
          </w:p>
        </w:tc>
        <w:tc>
          <w:tcPr>
            <w:tcW w:w="55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计算值</w:t>
            </w:r>
          </w:p>
        </w:tc>
        <w:tc>
          <w:tcPr>
            <w:tcW w:w="290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w:t>
            </w:r>
          </w:p>
        </w:tc>
        <w:tc>
          <w:tcPr>
            <w:tcW w:w="76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泄漏量</w:t>
            </w:r>
          </w:p>
        </w:tc>
        <w:tc>
          <w:tcPr>
            <w:tcW w:w="38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1</w:t>
            </w:r>
          </w:p>
        </w:tc>
        <w:tc>
          <w:tcPr>
            <w:tcW w:w="55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4000m</w:t>
            </w:r>
            <w:r>
              <w:rPr>
                <w:rFonts w:hint="default" w:ascii="Times New Roman" w:hAnsi="Times New Roman" w:cs="Times New Roman"/>
                <w:color w:val="000000"/>
                <w:sz w:val="21"/>
                <w:szCs w:val="21"/>
                <w:highlight w:val="none"/>
                <w:vertAlign w:val="superscript"/>
              </w:rPr>
              <w:t>3</w:t>
            </w:r>
          </w:p>
        </w:tc>
        <w:tc>
          <w:tcPr>
            <w:tcW w:w="290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取单个甲醇储罐体积4000m</w:t>
            </w:r>
            <w:r>
              <w:rPr>
                <w:rFonts w:hint="default" w:ascii="Times New Roman" w:hAnsi="Times New Roman" w:cs="Times New Roman"/>
                <w:color w:val="000000"/>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2</w:t>
            </w:r>
          </w:p>
        </w:tc>
        <w:tc>
          <w:tcPr>
            <w:tcW w:w="76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消防水量</w:t>
            </w:r>
          </w:p>
        </w:tc>
        <w:tc>
          <w:tcPr>
            <w:tcW w:w="38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2</w:t>
            </w:r>
          </w:p>
        </w:tc>
        <w:tc>
          <w:tcPr>
            <w:tcW w:w="55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1620m</w:t>
            </w:r>
            <w:r>
              <w:rPr>
                <w:rFonts w:hint="default" w:ascii="Times New Roman" w:hAnsi="Times New Roman" w:cs="Times New Roman"/>
                <w:color w:val="000000"/>
                <w:sz w:val="21"/>
                <w:szCs w:val="21"/>
                <w:highlight w:val="none"/>
                <w:vertAlign w:val="superscript"/>
              </w:rPr>
              <w:t>3</w:t>
            </w:r>
          </w:p>
        </w:tc>
        <w:tc>
          <w:tcPr>
            <w:tcW w:w="290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火灾消防水延续时间为3小时，则消防用水量为1620m</w:t>
            </w:r>
            <w:r>
              <w:rPr>
                <w:rFonts w:hint="default" w:ascii="Times New Roman" w:hAnsi="Times New Roman" w:cs="Times New Roman"/>
                <w:color w:val="000000"/>
                <w:sz w:val="21"/>
                <w:szCs w:val="21"/>
                <w:highlight w:val="none"/>
                <w:vertAlign w:val="superscript"/>
              </w:rPr>
              <w:t>3</w:t>
            </w:r>
            <w:r>
              <w:rPr>
                <w:rFonts w:hint="default" w:ascii="Times New Roman" w:hAnsi="Times New Roman" w:cs="Times New Roman"/>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3</w:t>
            </w:r>
          </w:p>
        </w:tc>
        <w:tc>
          <w:tcPr>
            <w:tcW w:w="76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物料转移量</w:t>
            </w:r>
          </w:p>
        </w:tc>
        <w:tc>
          <w:tcPr>
            <w:tcW w:w="38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3</w:t>
            </w:r>
          </w:p>
        </w:tc>
        <w:tc>
          <w:tcPr>
            <w:tcW w:w="55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4329m</w:t>
            </w:r>
            <w:r>
              <w:rPr>
                <w:rFonts w:hint="default" w:ascii="Times New Roman" w:hAnsi="Times New Roman" w:cs="Times New Roman"/>
                <w:color w:val="000000"/>
                <w:sz w:val="21"/>
                <w:szCs w:val="21"/>
                <w:highlight w:val="none"/>
                <w:vertAlign w:val="superscript"/>
              </w:rPr>
              <w:t>3</w:t>
            </w:r>
          </w:p>
        </w:tc>
        <w:tc>
          <w:tcPr>
            <w:tcW w:w="290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相关罐区设围堰体积参数约甲醇罐区</w:t>
            </w:r>
            <w:r>
              <w:rPr>
                <w:rFonts w:hint="default" w:ascii="Times New Roman" w:hAnsi="Times New Roman" w:cs="Times New Roman"/>
                <w:sz w:val="21"/>
                <w:szCs w:val="21"/>
                <w:highlight w:val="none"/>
              </w:rPr>
              <w:t>111*34.5**1.2；甲醛罐区</w:t>
            </w:r>
            <w:r>
              <w:rPr>
                <w:rFonts w:hint="default" w:ascii="Times New Roman" w:hAnsi="Times New Roman" w:cs="Times New Roman"/>
                <w:color w:val="000000"/>
                <w:sz w:val="21"/>
                <w:szCs w:val="21"/>
                <w:highlight w:val="none"/>
              </w:rPr>
              <w:t>111m*32.5m*1.2m，最小有效容积约4329m</w:t>
            </w:r>
            <w:r>
              <w:rPr>
                <w:rFonts w:hint="default" w:ascii="Times New Roman" w:hAnsi="Times New Roman" w:cs="Times New Roman"/>
                <w:color w:val="000000"/>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4</w:t>
            </w:r>
          </w:p>
        </w:tc>
        <w:tc>
          <w:tcPr>
            <w:tcW w:w="76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生产废水量</w:t>
            </w:r>
          </w:p>
        </w:tc>
        <w:tc>
          <w:tcPr>
            <w:tcW w:w="38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4</w:t>
            </w:r>
          </w:p>
        </w:tc>
        <w:tc>
          <w:tcPr>
            <w:tcW w:w="55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0m</w:t>
            </w:r>
            <w:r>
              <w:rPr>
                <w:rFonts w:hint="default" w:ascii="Times New Roman" w:hAnsi="Times New Roman" w:cs="Times New Roman"/>
                <w:color w:val="000000"/>
                <w:sz w:val="21"/>
                <w:szCs w:val="21"/>
                <w:highlight w:val="none"/>
                <w:vertAlign w:val="superscript"/>
              </w:rPr>
              <w:t>3</w:t>
            </w:r>
          </w:p>
        </w:tc>
        <w:tc>
          <w:tcPr>
            <w:tcW w:w="290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生产废水与事故废水管线不交叉，</w:t>
            </w:r>
          </w:p>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无生产废水进入消防系统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5</w:t>
            </w:r>
          </w:p>
        </w:tc>
        <w:tc>
          <w:tcPr>
            <w:tcW w:w="76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降雨量</w:t>
            </w:r>
          </w:p>
        </w:tc>
        <w:tc>
          <w:tcPr>
            <w:tcW w:w="38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5</w:t>
            </w:r>
          </w:p>
        </w:tc>
        <w:tc>
          <w:tcPr>
            <w:tcW w:w="55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147m</w:t>
            </w:r>
            <w:r>
              <w:rPr>
                <w:rFonts w:hint="default" w:ascii="Times New Roman" w:hAnsi="Times New Roman" w:cs="Times New Roman"/>
                <w:color w:val="000000"/>
                <w:sz w:val="21"/>
                <w:szCs w:val="21"/>
                <w:highlight w:val="none"/>
                <w:vertAlign w:val="superscript"/>
              </w:rPr>
              <w:t>3</w:t>
            </w:r>
          </w:p>
        </w:tc>
        <w:tc>
          <w:tcPr>
            <w:tcW w:w="290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vertAlign w:val="superscript"/>
              </w:rPr>
            </w:pPr>
            <w:r>
              <w:rPr>
                <w:rFonts w:hint="default" w:ascii="Times New Roman" w:hAnsi="Times New Roman" w:cs="Times New Roman"/>
                <w:color w:val="000000"/>
                <w:sz w:val="21"/>
                <w:szCs w:val="21"/>
                <w:highlight w:val="none"/>
              </w:rPr>
              <w:t>汇水面积F取0.9hm</w:t>
            </w:r>
            <w:r>
              <w:rPr>
                <w:rFonts w:hint="default" w:ascii="Times New Roman" w:hAnsi="Times New Roman" w:cs="Times New Roman"/>
                <w:color w:val="000000"/>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6</w:t>
            </w:r>
          </w:p>
        </w:tc>
        <w:tc>
          <w:tcPr>
            <w:tcW w:w="76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合计</w:t>
            </w:r>
          </w:p>
        </w:tc>
        <w:tc>
          <w:tcPr>
            <w:tcW w:w="38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总</w:t>
            </w:r>
          </w:p>
        </w:tc>
        <w:tc>
          <w:tcPr>
            <w:tcW w:w="55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1438m</w:t>
            </w:r>
            <w:r>
              <w:rPr>
                <w:rFonts w:hint="default" w:ascii="Times New Roman" w:hAnsi="Times New Roman" w:cs="Times New Roman"/>
                <w:color w:val="000000"/>
                <w:sz w:val="21"/>
                <w:szCs w:val="21"/>
                <w:highlight w:val="none"/>
                <w:vertAlign w:val="superscript"/>
              </w:rPr>
              <w:t>3</w:t>
            </w:r>
          </w:p>
        </w:tc>
        <w:tc>
          <w:tcPr>
            <w:tcW w:w="2906"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firstLine="0" w:firstLineChars="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1</w:t>
            </w: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2</w:t>
            </w: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3</w:t>
            </w:r>
            <w:r>
              <w:rPr>
                <w:rFonts w:hint="default" w:ascii="Times New Roman" w:hAnsi="Times New Roman" w:cs="Times New Roman"/>
                <w:color w:val="000000"/>
                <w:sz w:val="21"/>
                <w:szCs w:val="21"/>
                <w:highlight w:val="none"/>
              </w:rPr>
              <w:t>）</w:t>
            </w:r>
            <w:r>
              <w:rPr>
                <w:rFonts w:hint="default" w:ascii="Times New Roman" w:hAnsi="Times New Roman" w:cs="Times New Roman"/>
                <w:color w:val="000000"/>
                <w:sz w:val="21"/>
                <w:szCs w:val="21"/>
                <w:highlight w:val="none"/>
                <w:vertAlign w:val="subscript"/>
              </w:rPr>
              <w:t>max</w:t>
            </w: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4</w:t>
            </w:r>
            <w:r>
              <w:rPr>
                <w:rFonts w:hint="default" w:ascii="Times New Roman" w:hAnsi="Times New Roman" w:cs="Times New Roman"/>
                <w:color w:val="000000"/>
                <w:sz w:val="21"/>
                <w:szCs w:val="21"/>
                <w:highlight w:val="none"/>
              </w:rPr>
              <w:t>+V</w:t>
            </w:r>
            <w:r>
              <w:rPr>
                <w:rFonts w:hint="default" w:ascii="Times New Roman" w:hAnsi="Times New Roman" w:cs="Times New Roman"/>
                <w:color w:val="000000"/>
                <w:sz w:val="21"/>
                <w:szCs w:val="21"/>
                <w:highlight w:val="none"/>
                <w:vertAlign w:val="subscript"/>
              </w:rPr>
              <w:t>5</w:t>
            </w:r>
          </w:p>
        </w:tc>
      </w:tr>
    </w:tbl>
    <w:p>
      <w:pPr>
        <w:spacing w:line="480" w:lineRule="exact"/>
        <w:ind w:firstLine="460" w:firstLineChars="192"/>
        <w:rPr>
          <w:rFonts w:hint="default" w:ascii="Times New Roman" w:hAnsi="Times New Roman" w:cs="Times New Roman"/>
          <w:color w:val="auto"/>
        </w:rPr>
      </w:pPr>
      <w:r>
        <w:rPr>
          <w:rFonts w:hint="default" w:ascii="Times New Roman" w:hAnsi="Times New Roman" w:cs="Times New Roman"/>
          <w:bCs/>
          <w:color w:val="000000"/>
          <w:sz w:val="24"/>
          <w:szCs w:val="24"/>
          <w:highlight w:val="none"/>
        </w:rPr>
        <w:t>本工程设置事故水排水管线，重力流将事故水排入事故水池，</w:t>
      </w:r>
      <w:r>
        <w:rPr>
          <w:rFonts w:hint="default" w:ascii="Times New Roman" w:hAnsi="Times New Roman" w:cs="Times New Roman"/>
          <w:bCs/>
          <w:color w:val="auto"/>
          <w:sz w:val="24"/>
          <w:szCs w:val="24"/>
          <w:highlight w:val="none"/>
        </w:rPr>
        <w:t>事故水池设计最小容积为1438m</w:t>
      </w:r>
      <w:r>
        <w:rPr>
          <w:rFonts w:hint="default" w:ascii="Times New Roman" w:hAnsi="Times New Roman" w:cs="Times New Roman"/>
          <w:bCs/>
          <w:color w:val="auto"/>
          <w:sz w:val="24"/>
          <w:szCs w:val="24"/>
          <w:highlight w:val="none"/>
          <w:vertAlign w:val="superscript"/>
        </w:rPr>
        <w:t>3</w:t>
      </w:r>
      <w:r>
        <w:rPr>
          <w:rFonts w:hint="default" w:ascii="Times New Roman" w:hAnsi="Times New Roman" w:cs="Times New Roman"/>
          <w:bCs/>
          <w:color w:val="auto"/>
          <w:sz w:val="24"/>
          <w:szCs w:val="24"/>
          <w:highlight w:val="none"/>
          <w:lang w:eastAsia="zh-CN"/>
        </w:rPr>
        <w:t>。</w:t>
      </w:r>
      <w:r>
        <w:rPr>
          <w:rFonts w:hint="eastAsia" w:cs="Times New Roman"/>
          <w:bCs/>
          <w:color w:val="auto"/>
          <w:sz w:val="24"/>
          <w:szCs w:val="24"/>
          <w:highlight w:val="none"/>
          <w:lang w:val="en-US" w:eastAsia="zh-CN"/>
        </w:rPr>
        <w:t>本</w:t>
      </w:r>
      <w:r>
        <w:rPr>
          <w:rFonts w:hint="default" w:ascii="Times New Roman" w:hAnsi="Times New Roman" w:eastAsia="宋体" w:cs="Times New Roman"/>
          <w:b w:val="0"/>
          <w:bCs w:val="0"/>
          <w:color w:val="auto"/>
          <w:sz w:val="24"/>
          <w:szCs w:val="24"/>
        </w:rPr>
        <w:t>项目事故水池容积为</w:t>
      </w:r>
      <w:r>
        <w:rPr>
          <w:rFonts w:hint="default" w:ascii="Times New Roman" w:hAnsi="Times New Roman" w:eastAsia="宋体" w:cs="Times New Roman"/>
          <w:b w:val="0"/>
          <w:bCs w:val="0"/>
          <w:color w:val="auto"/>
          <w:sz w:val="24"/>
          <w:szCs w:val="24"/>
          <w:lang w:val="en-US" w:eastAsia="zh-CN"/>
        </w:rPr>
        <w:t>26</w:t>
      </w:r>
      <w:r>
        <w:rPr>
          <w:rFonts w:hint="default" w:ascii="Times New Roman" w:hAnsi="Times New Roman" w:eastAsia="TimesNewRomanPSMT" w:cs="Times New Roman"/>
          <w:b w:val="0"/>
          <w:bCs w:val="0"/>
          <w:color w:val="auto"/>
          <w:sz w:val="24"/>
          <w:szCs w:val="24"/>
        </w:rPr>
        <w:t>00</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eastAsia="宋体" w:cs="Times New Roman"/>
          <w:b w:val="0"/>
          <w:bCs w:val="0"/>
          <w:color w:val="auto"/>
          <w:sz w:val="24"/>
          <w:szCs w:val="24"/>
        </w:rPr>
        <w:t>，事故状态下产生的废水暂存于事故水池内，事故结束后</w:t>
      </w:r>
      <w:r>
        <w:rPr>
          <w:rFonts w:hint="default" w:ascii="Times New Roman" w:hAnsi="Times New Roman" w:cs="Times New Roman"/>
          <w:color w:val="auto"/>
          <w:sz w:val="24"/>
          <w:szCs w:val="24"/>
          <w:highlight w:val="none"/>
        </w:rPr>
        <w:t>分批次进入厂区内的污水处理系统处理，合格后排放</w:t>
      </w:r>
      <w:r>
        <w:rPr>
          <w:rFonts w:hint="default" w:ascii="Times New Roman" w:hAnsi="Times New Roman" w:cs="Times New Roman"/>
          <w:color w:val="auto"/>
        </w:rPr>
        <w:t>。</w:t>
      </w:r>
    </w:p>
    <w:p>
      <w:pPr>
        <w:pStyle w:val="4"/>
        <w:bidi w:val="0"/>
        <w:rPr>
          <w:rFonts w:hint="default"/>
          <w:lang w:val="en-US" w:eastAsia="zh-CN"/>
        </w:rPr>
        <w:sectPr>
          <w:pgSz w:w="11906" w:h="16838"/>
          <w:pgMar w:top="1417" w:right="1417" w:bottom="1247" w:left="158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pPr>
    </w:p>
    <w:p>
      <w:pPr>
        <w:pStyle w:val="4"/>
        <w:bidi w:val="0"/>
        <w:rPr>
          <w:rFonts w:hint="default"/>
        </w:rPr>
      </w:pPr>
      <w:bookmarkStart w:id="95" w:name="_Toc24012"/>
      <w:r>
        <w:rPr>
          <w:rFonts w:hint="default"/>
          <w:lang w:val="en-US" w:eastAsia="zh-CN"/>
        </w:rPr>
        <w:t xml:space="preserve">4.3 </w:t>
      </w:r>
      <w:r>
        <w:rPr>
          <w:rFonts w:hint="eastAsia"/>
          <w:lang w:val="en-US" w:eastAsia="zh-CN"/>
        </w:rPr>
        <w:t>释放环境风险物质的扩散途径、涉及环境风险防控与应急</w:t>
      </w:r>
      <w:r>
        <w:rPr>
          <w:rFonts w:hint="eastAsia" w:ascii="Times New Roman" w:hAnsi="Times New Roman" w:eastAsia="黑体" w:cs="Times New Roman"/>
          <w:bCs/>
          <w:color w:val="auto"/>
          <w:kern w:val="2"/>
          <w:sz w:val="28"/>
          <w:szCs w:val="32"/>
          <w:lang w:val="en-US" w:eastAsia="zh-CN" w:bidi="ar-SA"/>
        </w:rPr>
        <w:t>措施</w:t>
      </w:r>
      <w:bookmarkEnd w:id="94"/>
      <w:bookmarkEnd w:id="95"/>
    </w:p>
    <w:p>
      <w:pPr>
        <w:pStyle w:val="5"/>
        <w:bidi w:val="0"/>
        <w:rPr>
          <w:rFonts w:hint="default" w:eastAsia="黑体"/>
          <w:lang w:val="en-US" w:eastAsia="zh-CN"/>
        </w:rPr>
      </w:pPr>
      <w:bookmarkStart w:id="96" w:name="_Toc7431"/>
      <w:bookmarkStart w:id="97" w:name="_Toc11010"/>
      <w:bookmarkStart w:id="98" w:name="_Toc12568"/>
      <w:bookmarkStart w:id="99" w:name="_Toc20679"/>
      <w:bookmarkStart w:id="100" w:name="_Toc18326"/>
      <w:bookmarkStart w:id="101" w:name="_Toc27844"/>
      <w:bookmarkStart w:id="102" w:name="_Toc28276"/>
      <w:bookmarkStart w:id="103" w:name="_Toc20034"/>
      <w:bookmarkStart w:id="104" w:name="_Toc31961"/>
      <w:r>
        <w:rPr>
          <w:rFonts w:hint="default"/>
        </w:rPr>
        <w:t>4.</w:t>
      </w:r>
      <w:r>
        <w:rPr>
          <w:rFonts w:hint="default"/>
          <w:lang w:val="en-US" w:eastAsia="zh-CN"/>
        </w:rPr>
        <w:t>3</w:t>
      </w:r>
      <w:r>
        <w:rPr>
          <w:rFonts w:hint="default"/>
        </w:rPr>
        <w:t>.1</w:t>
      </w:r>
      <w:bookmarkEnd w:id="96"/>
      <w:bookmarkEnd w:id="97"/>
      <w:bookmarkEnd w:id="98"/>
      <w:bookmarkEnd w:id="99"/>
      <w:bookmarkEnd w:id="100"/>
      <w:bookmarkEnd w:id="101"/>
      <w:bookmarkEnd w:id="102"/>
      <w:r>
        <w:rPr>
          <w:rFonts w:hint="eastAsia"/>
          <w:lang w:val="en-US" w:eastAsia="zh-CN"/>
        </w:rPr>
        <w:t xml:space="preserve"> 火灾、爆炸、泄露风险</w:t>
      </w:r>
    </w:p>
    <w:p>
      <w:pPr>
        <w:bidi w:val="0"/>
        <w:rPr>
          <w:rFonts w:hint="default" w:ascii="Times New Roman" w:hAnsi="Times New Roman" w:eastAsia="宋体" w:cs="Times New Roman"/>
          <w:color w:val="auto"/>
          <w:lang w:val="en-US" w:eastAsia="zh-CN"/>
        </w:rPr>
      </w:pPr>
      <w:r>
        <w:rPr>
          <w:rFonts w:hint="eastAsia"/>
          <w:lang w:val="en-US" w:eastAsia="zh-CN"/>
        </w:rPr>
        <w:t>本项目生产装置区、储罐区、危废见存在易燃易爆物质，发生泄露后物质在围堰内如遇火源，可能形成火灾、爆炸的事故。如果发生事故，在正常条件下，事故排放的污染物，对项目周围的环境会产生影响，要引起足够重视，企业必须加强安全生产管理和设备仪器的维护检修，降低贮罐、管道破裂的概率，杜绝事故的发生。</w:t>
      </w:r>
    </w:p>
    <w:p>
      <w:pPr>
        <w:pStyle w:val="5"/>
        <w:bidi w:val="0"/>
        <w:rPr>
          <w:rFonts w:hint="default"/>
          <w:lang w:val="en-US"/>
        </w:rPr>
      </w:pPr>
      <w:r>
        <w:rPr>
          <w:rFonts w:hint="eastAsia"/>
          <w:lang w:val="en-US" w:eastAsia="zh-CN"/>
        </w:rPr>
        <w:t xml:space="preserve">4.3.2 </w:t>
      </w:r>
      <w:bookmarkEnd w:id="103"/>
      <w:bookmarkEnd w:id="104"/>
      <w:r>
        <w:rPr>
          <w:rFonts w:hint="eastAsia"/>
          <w:lang w:val="en-US" w:eastAsia="zh-CN"/>
        </w:rPr>
        <w:t>次生伴生危害</w:t>
      </w:r>
    </w:p>
    <w:p>
      <w:pPr>
        <w:bidi w:val="0"/>
        <w:rPr>
          <w:rFonts w:hint="eastAsia" w:eastAsia="宋体"/>
          <w:lang w:val="en-US" w:eastAsia="zh-CN"/>
        </w:rPr>
      </w:pPr>
      <w:r>
        <w:rPr>
          <w:rFonts w:hint="eastAsia" w:eastAsia="宋体"/>
          <w:lang w:val="en-US" w:eastAsia="zh-CN"/>
        </w:rPr>
        <w:t>项目可能发生的伴生、次生危险性分析见下图。</w:t>
      </w:r>
    </w:p>
    <w:p>
      <w:pPr>
        <w:bidi w:val="0"/>
        <w:ind w:left="0" w:leftChars="0" w:firstLine="0" w:firstLineChars="0"/>
        <w:jc w:val="center"/>
        <w:rPr>
          <w:rFonts w:hint="default" w:ascii="Times New Roman" w:hAnsi="Times New Roman" w:eastAsia="黑体" w:cs="Times New Roman"/>
          <w:bCs/>
          <w:kern w:val="2"/>
          <w:sz w:val="24"/>
          <w:szCs w:val="32"/>
          <w:lang w:val="en-US" w:eastAsia="zh-CN" w:bidi="ar-SA"/>
        </w:rPr>
      </w:pPr>
      <w:r>
        <w:rPr>
          <w:rFonts w:hint="eastAsia" w:eastAsia="宋体"/>
          <w:lang w:val="en-US" w:eastAsia="zh-CN"/>
        </w:rPr>
        <w:drawing>
          <wp:inline distT="0" distB="0" distL="114300" distR="114300">
            <wp:extent cx="5648325" cy="3889375"/>
            <wp:effectExtent l="0" t="0" r="9525" b="15875"/>
            <wp:docPr id="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pic:cNvPicPr>
                      <a:picLocks noChangeAspect="1"/>
                    </pic:cNvPicPr>
                  </pic:nvPicPr>
                  <pic:blipFill>
                    <a:blip r:embed="rId18"/>
                    <a:stretch>
                      <a:fillRect/>
                    </a:stretch>
                  </pic:blipFill>
                  <pic:spPr>
                    <a:xfrm>
                      <a:off x="0" y="0"/>
                      <a:ext cx="5648325" cy="3889375"/>
                    </a:xfrm>
                    <a:prstGeom prst="rect">
                      <a:avLst/>
                    </a:prstGeom>
                    <a:noFill/>
                    <a:ln>
                      <a:noFill/>
                    </a:ln>
                  </pic:spPr>
                </pic:pic>
              </a:graphicData>
            </a:graphic>
          </wp:inline>
        </w:drawing>
      </w:r>
      <w:r>
        <w:rPr>
          <w:rFonts w:hint="eastAsia" w:ascii="Times New Roman" w:hAnsi="Times New Roman" w:eastAsia="黑体" w:cs="Times New Roman"/>
          <w:bCs/>
          <w:kern w:val="2"/>
          <w:sz w:val="24"/>
          <w:szCs w:val="32"/>
          <w:lang w:val="en-US" w:eastAsia="zh-CN" w:bidi="ar-SA"/>
        </w:rPr>
        <w:t>图4.3-1 事故状况伴生和次生危险性分析</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本项目涉及的主要有毒有害物质事故状况下的伴生、次生危害具体见图4.3-1。</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物料发生大量泄露时，极有可能引发火灾爆炸事故。为防止引发火灾爆炸和环境空气污染事故，一般采用消防水对泄露区进行喷淋冷却，采用此法直接导致泄露的部分物料转移至消防水，若消防水直接外排，会对周围水环境造成污染。</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为避免事故状况下泄露的有毒物质以及火灾爆炸期间消防污水污染水环境，企业必须制定严格的排水计划，设置消防污水收集池、管网、切换阀等，使消防水排水处于监控状态，严禁事故废水排出厂外，次生危害造成水体污染。</w:t>
      </w:r>
    </w:p>
    <w:p>
      <w:pPr>
        <w:pStyle w:val="5"/>
        <w:bidi w:val="0"/>
        <w:rPr>
          <w:rFonts w:hint="default"/>
          <w:lang w:val="en-US" w:eastAsia="zh-CN"/>
        </w:rPr>
      </w:pPr>
      <w:r>
        <w:rPr>
          <w:rFonts w:hint="eastAsia"/>
          <w:lang w:val="en-US" w:eastAsia="zh-CN"/>
        </w:rPr>
        <w:t>4.3.3 事故疏散</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kern w:val="2"/>
          <w:sz w:val="24"/>
          <w:szCs w:val="24"/>
          <w:lang w:val="en-US" w:eastAsia="zh-CN" w:bidi="ar-SA"/>
        </w:rPr>
      </w:pPr>
      <w:r>
        <w:rPr>
          <w:rFonts w:hint="eastAsia" w:eastAsia="宋体" w:cs="Times New Roman"/>
          <w:kern w:val="2"/>
          <w:sz w:val="24"/>
          <w:szCs w:val="24"/>
          <w:lang w:val="en-US" w:eastAsia="zh-CN" w:bidi="ar-SA"/>
        </w:rPr>
        <w:t>公司发生突发环境事件，对企业工作人员进行疏散。</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eastAsia="宋体" w:cs="Times New Roman"/>
          <w:kern w:val="2"/>
          <w:sz w:val="24"/>
          <w:szCs w:val="24"/>
          <w:lang w:val="en-US" w:eastAsia="zh-CN" w:bidi="ar-SA"/>
        </w:rPr>
      </w:pPr>
      <w:r>
        <w:rPr>
          <w:rFonts w:hint="eastAsia" w:eastAsia="宋体" w:cs="Times New Roman"/>
          <w:kern w:val="2"/>
          <w:sz w:val="24"/>
          <w:szCs w:val="24"/>
          <w:lang w:val="en-US" w:eastAsia="zh-CN" w:bidi="ar-SA"/>
        </w:rPr>
        <w:t>1、受影响区域人群疏散方式</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当环境事故发生后严重影响到了厂内以及受保护地区人民群众的生命安全时，应当组织人员疏散，疏散时，遵循以下原则：</w:t>
      </w:r>
    </w:p>
    <w:p>
      <w:pPr>
        <w:pStyle w:val="2"/>
        <w:keepNext w:val="0"/>
        <w:keepLines w:val="0"/>
        <w:pageBreakBefore w:val="0"/>
        <w:widowControl w:val="0"/>
        <w:numPr>
          <w:ilvl w:val="0"/>
          <w:numId w:val="12"/>
        </w:numPr>
        <w:kinsoku/>
        <w:wordWrap/>
        <w:overflowPunct/>
        <w:topLinePunct w:val="0"/>
        <w:autoSpaceDE/>
        <w:autoSpaceDN/>
        <w:bidi w:val="0"/>
        <w:adjustRightInd/>
        <w:snapToGrid/>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保证疏散指示标志明显，应急疏散通道出口通畅，应急照明灯能正常使用；</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default" w:eastAsia="宋体" w:cs="Times New Roman"/>
          <w:kern w:val="2"/>
          <w:sz w:val="24"/>
          <w:szCs w:val="24"/>
          <w:lang w:val="en-US" w:eastAsia="zh-CN" w:bidi="ar-SA"/>
        </w:rPr>
      </w:pPr>
      <w:r>
        <w:rPr>
          <w:rFonts w:hint="eastAsia" w:eastAsia="宋体" w:cs="Times New Roman"/>
          <w:kern w:val="2"/>
          <w:sz w:val="24"/>
          <w:szCs w:val="24"/>
          <w:lang w:val="en-US" w:eastAsia="zh-CN" w:bidi="ar-SA"/>
        </w:rPr>
        <w:t>明确疏散计划，由应急指挥部发出疏散命令后，疏散引导小组按照规定立即组织人员疏散。</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default" w:eastAsia="宋体" w:cs="Times New Roman"/>
          <w:kern w:val="2"/>
          <w:sz w:val="24"/>
          <w:szCs w:val="24"/>
          <w:lang w:val="en-US" w:eastAsia="zh-CN" w:bidi="ar-SA"/>
        </w:rPr>
      </w:pPr>
      <w:r>
        <w:rPr>
          <w:rFonts w:hint="eastAsia" w:eastAsia="宋体" w:cs="Times New Roman"/>
          <w:kern w:val="2"/>
          <w:sz w:val="24"/>
          <w:szCs w:val="24"/>
          <w:lang w:val="en-US" w:eastAsia="zh-CN" w:bidi="ar-SA"/>
        </w:rPr>
        <w:t>疏散引导小组用最快速度通知现场人员，按疏散的方向通道进行疏散。</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积极配合好有关部门（公安消防队）进行疏散工作，主动汇报事故现场情况。</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事故现场有被困人员时，疏导人员应劝导被困人员，服从指挥，做到有组织、有秩序地疏散。</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正确通报、防止混乱。疏导人员首先通知事故现场附近人员先疏散出去，然后视情况公开通报，告诉其他区域人员进行有序疏散，防止不分先后，发生拥挤影响顺利疏散。</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口头引导疏散。疏导人员要用镇定的语气，呼喊、劝说人们消除恐惧心理，稳定情绪，使大家能够积极配合进行疏散。</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广播引导疏散。利用广播将发生事故的部位，需疏散人员的区域，安全的区域方向和标志告诉大家，对己被困人员告知他们救生器材的使用方法，自制救生器材的方法。</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事故现场直接威胁人员安全，疏散组人员采取必要的手段强制疏导，防止出现伤亡事故。在疏散通道的拐弯、叉道等容易走错方向的地方设疏导人员，提示疏散方向，防止误入死胡同或进入危险区域。</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对疏散出的人员，要加强脱险后的管理，防止脱险人员对财产和未撤离危险区的亲人生命担心而重新返回事故现场。必要时，在进入危险区域的关键部位配备警戒人员。</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专业救援队伍到达现场后，疏导人员若知晓内部被困人员，要迅速报告，介绍被困人员方位、数量。</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2、紧急避难场所</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（1）选择合适的地区或建筑物为紧急避难场所：</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（2）做好宣传工作，确保人人了解紧急避难场所的地址，目的和功能：</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（3）紧急避难场所必须有醒目的标志牌：</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（4）紧急避难场所不得作为他用。</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3、交通疏导</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（1）发生严重环境事故时，应急指挥部应积极配合有关部门，汇报事故情况，安排好交通封锁和疏通：</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（2）设置路障，封锁通往事故现场的道路，防止车辆或者人员再次进入事故现场：</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（3）配合好进入事故现场的应急救援小组，确保应急救援小组进出现场自由通畅：</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（4）引导需经过事故现场的车辆或行人临时绕道，确保车辆行人不受危险物质的伤害。</w:t>
      </w:r>
    </w:p>
    <w:p>
      <w:pPr>
        <w:pStyle w:val="5"/>
        <w:bidi w:val="0"/>
        <w:rPr>
          <w:rFonts w:hint="eastAsia"/>
          <w:lang w:val="en-US" w:eastAsia="zh-CN"/>
        </w:rPr>
      </w:pPr>
      <w:r>
        <w:rPr>
          <w:rFonts w:hint="eastAsia"/>
          <w:lang w:val="en-US" w:eastAsia="zh-CN"/>
        </w:rPr>
        <w:t>4.3.4涉及环境风险防控与应急措施、应急资源情祝分析</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1、甲醇、甲醛等环境风险物质，置于专门的储罐区，极大程度降低其风险性。</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2、委托有承运资质的运输单位承担危险品原料的运装：承担运输危险化学品的人</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员、车辆等符合《危险化学品安全管理条例》的规定。行车路线事先经当地公安交通部门批准，并制定路线和事件运输，车辆悬挂“危险品”标志。</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3、在满足正常生产前提下，尽可能减少危险品储存量和储存周期，即用即运。</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4、对设备进行日常管理，杜绝跑、冒、滴、漏，及时清除泄漏的物料。</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5、对生产设备有计划地进行保养和维修，以提高设备安全性，防止因设备维护不</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当而导致事故发生。</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6、定期对操作人员培训，操作人员必须持经危险品操作的培训证上岗。应将化学</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0" w:firstLineChars="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品的有关安全卫生资料向职工公开，教育职工识别安全标签，了解安全技术说明书，掌握必要的应急处理方法和自救措施，经常对职工进行工作场所安全使用化学品的教育和培训。</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480" w:firstLineChars="200"/>
        <w:textAlignment w:val="auto"/>
        <w:rPr>
          <w:rFonts w:hint="eastAsia" w:eastAsia="宋体" w:cs="Times New Roman"/>
          <w:kern w:val="2"/>
          <w:sz w:val="24"/>
          <w:szCs w:val="24"/>
          <w:lang w:val="en-US" w:eastAsia="zh-CN" w:bidi="ar-SA"/>
        </w:rPr>
      </w:pPr>
      <w:r>
        <w:rPr>
          <w:rFonts w:hint="eastAsia" w:eastAsia="宋体" w:cs="Times New Roman"/>
          <w:kern w:val="2"/>
          <w:sz w:val="24"/>
          <w:szCs w:val="24"/>
          <w:lang w:val="en-US" w:eastAsia="zh-CN" w:bidi="ar-SA"/>
        </w:rPr>
        <w:t>7、公司设有完善的应急装备、应急物资，消防系统设置有室外消防栓系统、灭火器等，配备急救物品、应急照明，防护设备、绝缘手套等。</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textAlignment w:val="auto"/>
        <w:rPr>
          <w:rFonts w:hint="eastAsia" w:eastAsia="宋体" w:cs="Times New Roman"/>
          <w:kern w:val="2"/>
          <w:sz w:val="24"/>
          <w:szCs w:val="24"/>
          <w:lang w:val="en-US" w:eastAsia="zh-CN" w:bidi="ar-SA"/>
        </w:rPr>
      </w:pPr>
    </w:p>
    <w:p>
      <w:pPr>
        <w:pStyle w:val="3"/>
        <w:bidi w:val="0"/>
        <w:rPr>
          <w:rFonts w:hint="default" w:ascii="Times New Roman" w:hAnsi="Times New Roman" w:cs="Times New Roman"/>
          <w:color w:val="auto"/>
        </w:rPr>
        <w:sectPr>
          <w:pgSz w:w="11906" w:h="16838"/>
          <w:pgMar w:top="1417" w:right="1417" w:bottom="1247" w:left="158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pPr>
      <w:bookmarkStart w:id="105" w:name="_Toc444522072"/>
      <w:bookmarkStart w:id="106" w:name="_Toc401654953"/>
      <w:bookmarkStart w:id="107" w:name="_Toc22922"/>
    </w:p>
    <w:p>
      <w:pPr>
        <w:pStyle w:val="4"/>
        <w:bidi w:val="0"/>
        <w:rPr>
          <w:rFonts w:hint="default"/>
          <w:lang w:val="en-US" w:eastAsia="zh-CN"/>
        </w:rPr>
      </w:pPr>
      <w:bookmarkStart w:id="108" w:name="_Toc1533"/>
      <w:bookmarkStart w:id="109" w:name="_Toc16212"/>
      <w:bookmarkStart w:id="110" w:name="_Toc462133900"/>
      <w:bookmarkStart w:id="111" w:name="_Toc4409"/>
      <w:bookmarkStart w:id="112" w:name="_Toc23219"/>
      <w:r>
        <w:rPr>
          <w:rFonts w:hint="default"/>
          <w:lang w:val="en-US" w:eastAsia="zh-CN"/>
        </w:rPr>
        <w:t>4.</w:t>
      </w:r>
      <w:r>
        <w:rPr>
          <w:rFonts w:hint="eastAsia"/>
          <w:lang w:val="en-US" w:eastAsia="zh-CN"/>
        </w:rPr>
        <w:t>4</w:t>
      </w:r>
      <w:r>
        <w:rPr>
          <w:rFonts w:hint="default"/>
          <w:lang w:val="en-US" w:eastAsia="zh-CN"/>
        </w:rPr>
        <w:t>突发环境事件后果分析</w:t>
      </w:r>
      <w:bookmarkEnd w:id="108"/>
      <w:bookmarkEnd w:id="109"/>
      <w:bookmarkEnd w:id="110"/>
      <w:bookmarkEnd w:id="111"/>
      <w:bookmarkEnd w:id="112"/>
    </w:p>
    <w:p>
      <w:pPr>
        <w:pStyle w:val="5"/>
        <w:bidi w:val="0"/>
        <w:rPr>
          <w:rFonts w:hint="default"/>
          <w:lang w:val="en-US" w:eastAsia="zh-CN"/>
        </w:rPr>
      </w:pPr>
      <w:r>
        <w:rPr>
          <w:rFonts w:hint="eastAsia"/>
          <w:lang w:val="en-US" w:eastAsia="zh-CN"/>
        </w:rPr>
        <w:t>4.4.1 突发环境事件对大气环境的影响</w:t>
      </w:r>
    </w:p>
    <w:p>
      <w:pPr>
        <w:pStyle w:val="5"/>
        <w:bidi w:val="0"/>
        <w:ind w:firstLine="480" w:firstLineChars="200"/>
        <w:rPr>
          <w:rFonts w:hint="default" w:ascii="Times New Roman" w:hAnsi="Times New Roman" w:eastAsia="黑体" w:cs="Times New Roman"/>
          <w:bCs/>
          <w:color w:val="auto"/>
          <w:kern w:val="2"/>
          <w:sz w:val="24"/>
          <w:szCs w:val="32"/>
          <w:lang w:val="en-US" w:eastAsia="zh-CN" w:bidi="ar-SA"/>
        </w:rPr>
      </w:pPr>
      <w:r>
        <w:rPr>
          <w:rFonts w:hint="eastAsia" w:ascii="Times New Roman" w:hAnsi="Times New Roman" w:eastAsia="黑体" w:cs="Times New Roman"/>
          <w:bCs/>
          <w:color w:val="auto"/>
          <w:kern w:val="2"/>
          <w:sz w:val="24"/>
          <w:szCs w:val="32"/>
          <w:lang w:val="en-US" w:eastAsia="zh-CN" w:bidi="ar-SA"/>
        </w:rPr>
        <w:t>1、</w:t>
      </w:r>
      <w:r>
        <w:rPr>
          <w:rFonts w:hint="eastAsia" w:cs="Times New Roman"/>
          <w:bCs/>
          <w:color w:val="auto"/>
          <w:kern w:val="2"/>
          <w:sz w:val="24"/>
          <w:szCs w:val="32"/>
          <w:lang w:val="en-US" w:eastAsia="zh-CN" w:bidi="ar-SA"/>
        </w:rPr>
        <w:t>甲醇、</w:t>
      </w:r>
      <w:r>
        <w:rPr>
          <w:rFonts w:hint="default" w:ascii="Times New Roman" w:hAnsi="Times New Roman" w:eastAsia="黑体" w:cs="Times New Roman"/>
          <w:bCs/>
          <w:color w:val="auto"/>
          <w:kern w:val="2"/>
          <w:sz w:val="24"/>
          <w:szCs w:val="32"/>
          <w:lang w:val="en-US" w:eastAsia="zh-CN" w:bidi="ar-SA"/>
        </w:rPr>
        <w:t>甲醛溶液泄漏污染影响分析</w:t>
      </w:r>
    </w:p>
    <w:p>
      <w:pPr>
        <w:bidi w:val="0"/>
        <w:rPr>
          <w:rFonts w:hint="default" w:ascii="Times New Roman" w:hAnsi="Times New Roman" w:cs="Times New Roman"/>
          <w:color w:val="auto"/>
        </w:rPr>
      </w:pPr>
      <w:r>
        <w:rPr>
          <w:rFonts w:hint="default" w:ascii="Times New Roman" w:hAnsi="Times New Roman" w:cs="Times New Roman"/>
          <w:color w:val="auto"/>
        </w:rPr>
        <w:t>根据HJ169-2018，在筛选大气风险预测模型前应该先判定评价物质为重质气体还是轻质气体，判定依据采用HJ169-2018附录G中推荐的理查德森数（Richardon）进行判定。Richardon数是一个无量纲常数，表示气云势能和环境湍流动能之比，跟气体密度、环境条件、泄漏初始条件等。对于连续排放，Ri逸1/6为重质气体，Ri约1/6为轻质气体。轻质气体应选用AFTOX模型，重质气体应选用SLAB模型计算。通过EIApro2018风险估算，泄漏蒸发的甲醛烟团初始密度未大于空气密度，不计算理查德森数，扩散计算应采用AFTOX模型。</w:t>
      </w:r>
    </w:p>
    <w:p>
      <w:pPr>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选取</w:t>
      </w:r>
      <w:r>
        <w:rPr>
          <w:rFonts w:hint="default" w:ascii="Times New Roman" w:hAnsi="Times New Roman" w:cs="Times New Roman"/>
          <w:color w:val="auto"/>
        </w:rPr>
        <w:t>最不利气象条件（F类稳定度，1.5 m/s 风速，温度25℃，相对湿度50%），</w:t>
      </w:r>
      <w:r>
        <w:rPr>
          <w:rFonts w:hint="default" w:ascii="Times New Roman" w:hAnsi="Times New Roman" w:cs="Times New Roman"/>
          <w:color w:val="auto"/>
          <w:lang w:val="en-US" w:eastAsia="zh-CN"/>
        </w:rPr>
        <w:t>采用</w:t>
      </w:r>
      <w:r>
        <w:rPr>
          <w:rFonts w:hint="default" w:ascii="Times New Roman" w:hAnsi="Times New Roman" w:cs="Times New Roman"/>
          <w:color w:val="auto"/>
          <w:lang w:eastAsia="zh-CN"/>
        </w:rPr>
        <w:t>EIApro2018软件，对</w:t>
      </w:r>
      <w:r>
        <w:rPr>
          <w:rFonts w:hint="default" w:ascii="Times New Roman" w:hAnsi="Times New Roman" w:cs="Times New Roman"/>
          <w:color w:val="auto"/>
          <w:lang w:val="en-US" w:eastAsia="zh-CN"/>
        </w:rPr>
        <w:t>甲醇、</w:t>
      </w:r>
      <w:r>
        <w:rPr>
          <w:rFonts w:hint="default" w:ascii="Times New Roman" w:hAnsi="Times New Roman" w:cs="Times New Roman"/>
          <w:color w:val="auto"/>
          <w:lang w:eastAsia="zh-CN"/>
        </w:rPr>
        <w:t>甲醛泄漏后，不同气象条件下风向不同距离处的浓度进行预测。</w:t>
      </w:r>
    </w:p>
    <w:p>
      <w:pPr>
        <w:bidi w:val="0"/>
        <w:rPr>
          <w:rFonts w:hint="default" w:ascii="Times New Roman" w:hAnsi="Times New Roman" w:cs="Times New Roman"/>
          <w:lang w:eastAsia="zh-CN"/>
        </w:rPr>
      </w:pPr>
      <w:r>
        <w:rPr>
          <w:rFonts w:hint="default" w:ascii="Times New Roman" w:hAnsi="Times New Roman" w:eastAsia="宋体" w:cs="Times New Roman"/>
          <w:b w:val="0"/>
          <w:bCs w:val="0"/>
          <w:color w:val="000000"/>
          <w:sz w:val="24"/>
          <w:szCs w:val="24"/>
        </w:rPr>
        <w:t>根据《建设项目环境风险评价技术导则》（</w:t>
      </w:r>
      <w:r>
        <w:rPr>
          <w:rFonts w:hint="default" w:ascii="Times New Roman" w:hAnsi="Times New Roman" w:eastAsia="TimesNewRomanPSMT" w:cs="Times New Roman"/>
          <w:b w:val="0"/>
          <w:bCs w:val="0"/>
          <w:color w:val="000000"/>
          <w:sz w:val="24"/>
          <w:szCs w:val="24"/>
        </w:rPr>
        <w:t>HJ</w:t>
      </w:r>
      <w:r>
        <w:rPr>
          <w:rFonts w:hint="eastAsia" w:eastAsia="宋体" w:cs="Times New Roman"/>
          <w:b w:val="0"/>
          <w:bCs w:val="0"/>
          <w:color w:val="000000"/>
          <w:sz w:val="24"/>
          <w:szCs w:val="24"/>
          <w:lang w:val="en-US" w:eastAsia="zh-CN"/>
        </w:rPr>
        <w:t xml:space="preserve"> </w:t>
      </w:r>
      <w:r>
        <w:rPr>
          <w:rFonts w:hint="default" w:ascii="Times New Roman" w:hAnsi="Times New Roman" w:eastAsia="TimesNewRomanPSMT" w:cs="Times New Roman"/>
          <w:b w:val="0"/>
          <w:bCs w:val="0"/>
          <w:color w:val="000000"/>
          <w:sz w:val="24"/>
          <w:szCs w:val="24"/>
        </w:rPr>
        <w:t>169</w:t>
      </w:r>
      <w:r>
        <w:rPr>
          <w:rFonts w:hint="default" w:ascii="Times New Roman" w:hAnsi="Times New Roman" w:eastAsia="宋体" w:cs="Times New Roman"/>
          <w:b w:val="0"/>
          <w:bCs w:val="0"/>
          <w:color w:val="000000"/>
          <w:sz w:val="24"/>
          <w:szCs w:val="24"/>
        </w:rPr>
        <w:t>－</w:t>
      </w:r>
      <w:r>
        <w:rPr>
          <w:rFonts w:hint="default" w:ascii="Times New Roman" w:hAnsi="Times New Roman" w:eastAsia="TimesNewRomanPSMT" w:cs="Times New Roman"/>
          <w:b w:val="0"/>
          <w:bCs w:val="0"/>
          <w:color w:val="000000"/>
          <w:sz w:val="24"/>
          <w:szCs w:val="24"/>
        </w:rPr>
        <w:t>2018</w:t>
      </w:r>
      <w:r>
        <w:rPr>
          <w:rFonts w:hint="default" w:ascii="Times New Roman" w:hAnsi="Times New Roman" w:eastAsia="宋体" w:cs="Times New Roman"/>
          <w:b w:val="0"/>
          <w:bCs w:val="0"/>
          <w:color w:val="000000"/>
          <w:sz w:val="24"/>
          <w:szCs w:val="24"/>
        </w:rPr>
        <w:t xml:space="preserve">）附录 </w:t>
      </w:r>
      <w:r>
        <w:rPr>
          <w:rFonts w:hint="default" w:ascii="Times New Roman" w:hAnsi="Times New Roman" w:eastAsia="TimesNewRomanPSMT" w:cs="Times New Roman"/>
          <w:b w:val="0"/>
          <w:bCs w:val="0"/>
          <w:color w:val="000000"/>
          <w:sz w:val="24"/>
          <w:szCs w:val="24"/>
        </w:rPr>
        <w:t>H</w:t>
      </w:r>
      <w:r>
        <w:rPr>
          <w:rFonts w:hint="default" w:ascii="Times New Roman" w:hAnsi="Times New Roman" w:eastAsia="宋体" w:cs="Times New Roman"/>
          <w:b w:val="0"/>
          <w:bCs w:val="0"/>
          <w:color w:val="000000"/>
          <w:sz w:val="24"/>
          <w:szCs w:val="24"/>
        </w:rPr>
        <w:t>，选择大气毒性终点浓度值作为预测评价标准</w:t>
      </w:r>
      <w:r>
        <w:rPr>
          <w:rFonts w:hint="default" w:ascii="Times New Roman" w:hAnsi="Times New Roman" w:cs="Times New Roman"/>
          <w:lang w:eastAsia="zh-CN"/>
        </w:rPr>
        <w:t>。</w:t>
      </w:r>
    </w:p>
    <w:p>
      <w:pPr>
        <w:pStyle w:val="36"/>
        <w:bidi w:val="0"/>
        <w:rPr>
          <w:rFonts w:hint="default" w:ascii="Times New Roman" w:hAnsi="Times New Roman" w:cs="Times New Roman"/>
          <w:color w:val="auto"/>
          <w:lang w:val="en-US" w:eastAsia="zh-CN"/>
        </w:rPr>
      </w:pPr>
      <w:r>
        <w:rPr>
          <w:rFonts w:hint="default" w:ascii="Times New Roman" w:hAnsi="Times New Roman" w:cs="Times New Roman"/>
          <w:color w:val="auto"/>
        </w:rPr>
        <w:t>表4.</w:t>
      </w:r>
      <w:r>
        <w:rPr>
          <w:rFonts w:hint="eastAsia" w:cs="Times New Roman"/>
          <w:color w:val="auto"/>
          <w:lang w:val="en-US" w:eastAsia="zh-CN"/>
        </w:rPr>
        <w:t>4</w:t>
      </w:r>
      <w:r>
        <w:rPr>
          <w:rFonts w:hint="default" w:ascii="Times New Roman" w:hAnsi="Times New Roman" w:cs="Times New Roman"/>
          <w:color w:val="auto"/>
        </w:rPr>
        <w:t xml:space="preserve">-1 </w:t>
      </w:r>
      <w:r>
        <w:rPr>
          <w:rFonts w:hint="default" w:ascii="Times New Roman" w:hAnsi="Times New Roman" w:cs="Times New Roman"/>
          <w:color w:val="auto"/>
          <w:lang w:val="en-US" w:eastAsia="zh-CN"/>
        </w:rPr>
        <w:t>物质大气毒性重点浓度值</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56"/>
        <w:gridCol w:w="1058"/>
        <w:gridCol w:w="1944"/>
        <w:gridCol w:w="1684"/>
        <w:gridCol w:w="3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5" w:hRule="atLeast"/>
          <w:jc w:val="center"/>
        </w:trPr>
        <w:tc>
          <w:tcPr>
            <w:tcW w:w="1056"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序号</w:t>
            </w:r>
          </w:p>
        </w:tc>
        <w:tc>
          <w:tcPr>
            <w:tcW w:w="105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物质名称</w:t>
            </w:r>
          </w:p>
        </w:tc>
        <w:tc>
          <w:tcPr>
            <w:tcW w:w="19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CAS号</w:t>
            </w:r>
          </w:p>
        </w:tc>
        <w:tc>
          <w:tcPr>
            <w:tcW w:w="168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毒性终点浓度-1（mg/m</w:t>
            </w:r>
            <w:r>
              <w:rPr>
                <w:rFonts w:hint="default" w:ascii="Times New Roman" w:hAnsi="Times New Roman" w:cs="Times New Roman"/>
                <w:i w:val="0"/>
                <w:iCs w:val="0"/>
                <w:color w:val="000000"/>
                <w:kern w:val="0"/>
                <w:sz w:val="21"/>
                <w:szCs w:val="21"/>
                <w:u w:val="none"/>
                <w:vertAlign w:val="superscript"/>
                <w:lang w:val="en-US" w:eastAsia="zh-CN" w:bidi="ar"/>
              </w:rPr>
              <w:t>3</w:t>
            </w:r>
            <w:r>
              <w:rPr>
                <w:rFonts w:hint="default" w:ascii="Times New Roman" w:hAnsi="Times New Roman" w:cs="Times New Roman"/>
                <w:i w:val="0"/>
                <w:iCs w:val="0"/>
                <w:color w:val="000000"/>
                <w:kern w:val="0"/>
                <w:sz w:val="21"/>
                <w:szCs w:val="21"/>
                <w:u w:val="none"/>
                <w:lang w:val="en-US" w:eastAsia="zh-CN" w:bidi="ar"/>
              </w:rPr>
              <w:t>）</w:t>
            </w:r>
          </w:p>
        </w:tc>
        <w:tc>
          <w:tcPr>
            <w:tcW w:w="3371"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cs="Times New Roman"/>
                <w:i w:val="0"/>
                <w:iCs w:val="0"/>
                <w:color w:val="000000"/>
                <w:kern w:val="0"/>
                <w:sz w:val="21"/>
                <w:szCs w:val="21"/>
                <w:u w:val="none"/>
                <w:lang w:val="en-US" w:eastAsia="zh-CN" w:bidi="ar"/>
              </w:rPr>
              <w:t>毒性终点浓度-2（mg/m</w:t>
            </w:r>
            <w:r>
              <w:rPr>
                <w:rFonts w:hint="default" w:ascii="Times New Roman" w:hAnsi="Times New Roman" w:cs="Times New Roman"/>
                <w:i w:val="0"/>
                <w:iCs w:val="0"/>
                <w:color w:val="000000"/>
                <w:kern w:val="0"/>
                <w:sz w:val="21"/>
                <w:szCs w:val="21"/>
                <w:u w:val="none"/>
                <w:vertAlign w:val="superscript"/>
                <w:lang w:val="en-US" w:eastAsia="zh-CN" w:bidi="ar"/>
              </w:rPr>
              <w:t>3</w:t>
            </w:r>
            <w:r>
              <w:rPr>
                <w:rFonts w:hint="default" w:ascii="Times New Roman" w:hAnsi="Times New Roman" w:cs="Times New Roman"/>
                <w:i w:val="0"/>
                <w:iCs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056"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1</w:t>
            </w:r>
          </w:p>
        </w:tc>
        <w:tc>
          <w:tcPr>
            <w:tcW w:w="105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甲醇</w:t>
            </w:r>
          </w:p>
        </w:tc>
        <w:tc>
          <w:tcPr>
            <w:tcW w:w="19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67-56-1</w:t>
            </w:r>
          </w:p>
        </w:tc>
        <w:tc>
          <w:tcPr>
            <w:tcW w:w="168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9400</w:t>
            </w:r>
          </w:p>
        </w:tc>
        <w:tc>
          <w:tcPr>
            <w:tcW w:w="3371"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056"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2</w:t>
            </w:r>
          </w:p>
        </w:tc>
        <w:tc>
          <w:tcPr>
            <w:tcW w:w="105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甲醛</w:t>
            </w:r>
          </w:p>
        </w:tc>
        <w:tc>
          <w:tcPr>
            <w:tcW w:w="19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50-00-0</w:t>
            </w:r>
          </w:p>
        </w:tc>
        <w:tc>
          <w:tcPr>
            <w:tcW w:w="168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69</w:t>
            </w:r>
          </w:p>
        </w:tc>
        <w:tc>
          <w:tcPr>
            <w:tcW w:w="3371"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17</w:t>
            </w:r>
          </w:p>
        </w:tc>
      </w:tr>
    </w:tbl>
    <w:p>
      <w:pPr>
        <w:pStyle w:val="36"/>
        <w:bidi w:val="0"/>
        <w:rPr>
          <w:rFonts w:hint="default" w:ascii="Times New Roman" w:hAnsi="Times New Roman" w:cs="Times New Roman"/>
          <w:color w:val="auto"/>
          <w:lang w:val="en-US" w:eastAsia="zh-CN"/>
        </w:rPr>
      </w:pPr>
      <w:r>
        <w:rPr>
          <w:rFonts w:hint="default" w:ascii="Times New Roman" w:hAnsi="Times New Roman" w:cs="Times New Roman"/>
          <w:color w:val="auto"/>
        </w:rPr>
        <w:t>表4.</w:t>
      </w:r>
      <w:r>
        <w:rPr>
          <w:rFonts w:hint="eastAsia"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最不利气象条件下泄漏后甲醇随距离扩散的高峰浓度</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225"/>
        <w:gridCol w:w="3444"/>
        <w:gridCol w:w="3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距离 (m)</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浓度出现时间(min)</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高峰浓度(mg/m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0.11</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0.22</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0.33</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98.16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0.44</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1379.8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0.55</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1518.3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0.67</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1518.2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0.78</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1454.8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0.89</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1366.5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1271.7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1.11</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1178.9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2.22</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588.21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3.33</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351.65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4.44</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236.54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5.56</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171.52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6.67</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130.92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7.78</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103.74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8.89</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84.55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70.46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15.11</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59.77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27.22</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38.33</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49.44</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60.56</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6.72</w:t>
            </w:r>
          </w:p>
        </w:tc>
      </w:tr>
    </w:tbl>
    <w:p>
      <w:pPr>
        <w:pStyle w:val="36"/>
        <w:bidi w:val="0"/>
        <w:rPr>
          <w:rFonts w:hint="default" w:ascii="Times New Roman" w:hAnsi="Times New Roman" w:cs="Times New Roman"/>
          <w:color w:val="auto"/>
          <w:lang w:val="en-US" w:eastAsia="zh-CN"/>
        </w:rPr>
      </w:pPr>
      <w:r>
        <w:rPr>
          <w:rFonts w:hint="default" w:ascii="Times New Roman" w:hAnsi="Times New Roman" w:cs="Times New Roman"/>
          <w:color w:val="auto"/>
        </w:rPr>
        <w:t>表4.</w:t>
      </w:r>
      <w:r>
        <w:rPr>
          <w:rFonts w:hint="eastAsia"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最不利气象条件下泄漏后甲醛随距离扩散的高峰浓度</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225"/>
        <w:gridCol w:w="3444"/>
        <w:gridCol w:w="3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距离 (m)</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浓度出现时间(min)</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高峰浓度(mg/m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0.11</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0.22</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0.33</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0.44</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50.65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0.55</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0.67</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0.78</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0.89</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1.11</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2.22</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3.33</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4.44</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5.56</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6.67</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7.78</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8.89</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1000.00</w:t>
            </w:r>
          </w:p>
        </w:tc>
        <w:tc>
          <w:tcPr>
            <w:tcW w:w="1889"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14.11</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27.22</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38.33</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49.44</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jc w:val="center"/>
        </w:trPr>
        <w:tc>
          <w:tcPr>
            <w:tcW w:w="1220" w:type="pc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5000.00</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60.56</w:t>
            </w:r>
          </w:p>
        </w:tc>
        <w:tc>
          <w:tcPr>
            <w:tcW w:w="3444"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0.08</w:t>
            </w:r>
          </w:p>
        </w:tc>
      </w:tr>
    </w:tbl>
    <w:p>
      <w:pPr>
        <w:pStyle w:val="36"/>
        <w:bidi w:val="0"/>
        <w:rPr>
          <w:rFonts w:hint="default" w:ascii="Times New Roman" w:hAnsi="Times New Roman" w:cs="Times New Roman"/>
          <w:color w:val="auto"/>
          <w:lang w:val="en-US" w:eastAsia="zh-CN"/>
        </w:rPr>
      </w:pPr>
      <w:r>
        <w:rPr>
          <w:rFonts w:hint="default" w:ascii="Times New Roman" w:hAnsi="Times New Roman" w:cs="Times New Roman"/>
          <w:color w:val="auto"/>
        </w:rPr>
        <w:t>表4.</w:t>
      </w:r>
      <w:r>
        <w:rPr>
          <w:rFonts w:hint="eastAsia"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4</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最不利气象条件下下风向不同距离处有毒有害物质的最大浓度</w:t>
      </w:r>
    </w:p>
    <w:tbl>
      <w:tblPr>
        <w:tblStyle w:val="3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9"/>
        <w:gridCol w:w="1216"/>
        <w:gridCol w:w="1533"/>
        <w:gridCol w:w="1225"/>
        <w:gridCol w:w="1857"/>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lang w:val="en-US"/>
              </w:rPr>
            </w:pPr>
            <w:r>
              <w:rPr>
                <w:rFonts w:hint="default" w:ascii="Times New Roman" w:hAnsi="Times New Roman" w:cs="Times New Roman"/>
                <w:i w:val="0"/>
                <w:iCs w:val="0"/>
                <w:color w:val="auto"/>
                <w:kern w:val="0"/>
                <w:sz w:val="21"/>
                <w:szCs w:val="21"/>
                <w:u w:val="none"/>
                <w:lang w:val="en-US" w:eastAsia="zh-CN" w:bidi="ar"/>
              </w:rPr>
              <w:t>物质名称</w:t>
            </w:r>
          </w:p>
        </w:tc>
        <w:tc>
          <w:tcPr>
            <w:tcW w:w="667" w:type="pct"/>
            <w:noWrap w:val="0"/>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预测时间（min）</w:t>
            </w:r>
          </w:p>
        </w:tc>
        <w:tc>
          <w:tcPr>
            <w:tcW w:w="841" w:type="pct"/>
            <w:noWrap w:val="0"/>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最大落地浓度(mg/m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w:t>
            </w:r>
          </w:p>
        </w:tc>
        <w:tc>
          <w:tcPr>
            <w:tcW w:w="672" w:type="pct"/>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lang w:val="en-US" w:eastAsia="zh-CN"/>
              </w:rPr>
              <w:t>出现距离（m）</w:t>
            </w:r>
          </w:p>
        </w:tc>
        <w:tc>
          <w:tcPr>
            <w:tcW w:w="1019" w:type="pct"/>
            <w:noWrap w:val="0"/>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sz w:val="21"/>
                <w:szCs w:val="21"/>
              </w:rPr>
              <w:t>毒性终点浓度-1</w:t>
            </w:r>
            <w:r>
              <w:rPr>
                <w:rFonts w:hint="default" w:ascii="Times New Roman" w:hAnsi="Times New Roman" w:cs="Times New Roman"/>
                <w:color w:val="auto"/>
                <w:sz w:val="21"/>
                <w:szCs w:val="21"/>
                <w:lang w:val="en-US" w:eastAsia="zh-CN"/>
              </w:rPr>
              <w:t>出现距离</w:t>
            </w:r>
            <w:r>
              <w:rPr>
                <w:rFonts w:hint="default" w:ascii="Times New Roman" w:hAnsi="Times New Roman" w:cs="Times New Roman"/>
                <w:color w:val="auto"/>
                <w:lang w:val="en-US" w:eastAsia="zh-CN"/>
              </w:rPr>
              <w:t>（m）</w:t>
            </w:r>
          </w:p>
        </w:tc>
        <w:tc>
          <w:tcPr>
            <w:tcW w:w="1192" w:type="pct"/>
            <w:noWrap w:val="0"/>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sz w:val="21"/>
                <w:szCs w:val="21"/>
              </w:rPr>
              <w:t>毒性终点浓度-</w:t>
            </w:r>
            <w:r>
              <w:rPr>
                <w:rFonts w:hint="default" w:ascii="Times New Roman" w:hAnsi="Times New Roman" w:cs="Times New Roman"/>
                <w:color w:val="auto"/>
                <w:sz w:val="21"/>
                <w:szCs w:val="21"/>
                <w:lang w:val="en-US" w:eastAsia="zh-CN"/>
              </w:rPr>
              <w:t>2出现距离</w:t>
            </w:r>
            <w:r>
              <w:rPr>
                <w:rFonts w:hint="default" w:ascii="Times New Roman" w:hAnsi="Times New Roman" w:cs="Times New Roman"/>
                <w:color w:val="auto"/>
                <w:lang w:val="en-US" w:eastAsia="zh-CN"/>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color w:val="auto"/>
              </w:rPr>
            </w:pPr>
            <w:r>
              <w:rPr>
                <w:rFonts w:hint="default" w:ascii="Times New Roman" w:hAnsi="Times New Roman" w:cs="Times New Roman"/>
                <w:i w:val="0"/>
                <w:iCs w:val="0"/>
                <w:color w:val="auto"/>
                <w:sz w:val="21"/>
                <w:szCs w:val="21"/>
                <w:u w:val="none"/>
                <w:lang w:val="en-US" w:eastAsia="zh-CN"/>
              </w:rPr>
              <w:t>甲醇</w:t>
            </w:r>
          </w:p>
        </w:tc>
        <w:tc>
          <w:tcPr>
            <w:tcW w:w="667" w:type="pct"/>
            <w:noWrap w:val="0"/>
            <w:vAlign w:val="top"/>
          </w:tcPr>
          <w:p>
            <w:pPr>
              <w:pStyle w:val="42"/>
              <w:bidi w:val="0"/>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0.55</w:t>
            </w:r>
          </w:p>
        </w:tc>
        <w:tc>
          <w:tcPr>
            <w:tcW w:w="841" w:type="pct"/>
            <w:noWrap w:val="0"/>
            <w:vAlign w:val="top"/>
          </w:tcPr>
          <w:p>
            <w:pPr>
              <w:pStyle w:val="42"/>
              <w:bidi w:val="0"/>
              <w:rPr>
                <w:rFonts w:hint="default" w:ascii="Times New Roman" w:hAnsi="Times New Roman" w:cs="Times New Roman"/>
                <w:color w:val="auto"/>
                <w:lang w:val="en-US" w:eastAsia="zh-CN"/>
              </w:rPr>
            </w:pPr>
            <w:r>
              <w:rPr>
                <w:rFonts w:hint="default" w:ascii="Times New Roman" w:hAnsi="Times New Roman" w:cs="Times New Roman"/>
                <w:i w:val="0"/>
                <w:iCs w:val="0"/>
                <w:color w:val="auto"/>
                <w:kern w:val="0"/>
                <w:sz w:val="21"/>
                <w:szCs w:val="21"/>
                <w:u w:val="none"/>
                <w:lang w:val="en-US" w:eastAsia="zh-CN" w:bidi="ar"/>
              </w:rPr>
              <w:t>1518.3</w:t>
            </w:r>
          </w:p>
        </w:tc>
        <w:tc>
          <w:tcPr>
            <w:tcW w:w="672" w:type="pct"/>
            <w:noWrap w:val="0"/>
            <w:vAlign w:val="center"/>
          </w:tcPr>
          <w:p>
            <w:pPr>
              <w:pStyle w:val="4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50</w:t>
            </w:r>
          </w:p>
        </w:tc>
        <w:tc>
          <w:tcPr>
            <w:tcW w:w="1019" w:type="pct"/>
            <w:noWrap w:val="0"/>
            <w:vAlign w:val="center"/>
          </w:tcPr>
          <w:p>
            <w:pPr>
              <w:pStyle w:val="4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c>
          <w:tcPr>
            <w:tcW w:w="1192" w:type="pct"/>
            <w:noWrap w:val="0"/>
            <w:vAlign w:val="center"/>
          </w:tcPr>
          <w:p>
            <w:pPr>
              <w:pStyle w:val="4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0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sz w:val="21"/>
                <w:szCs w:val="21"/>
                <w:u w:val="none"/>
                <w:lang w:val="en-US" w:eastAsia="zh-CN"/>
              </w:rPr>
              <w:t>甲醛</w:t>
            </w:r>
          </w:p>
        </w:tc>
        <w:tc>
          <w:tcPr>
            <w:tcW w:w="667" w:type="pct"/>
            <w:noWrap w:val="0"/>
            <w:vAlign w:val="top"/>
          </w:tcPr>
          <w:p>
            <w:pPr>
              <w:pStyle w:val="42"/>
              <w:bidi w:val="0"/>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0.44</w:t>
            </w:r>
          </w:p>
        </w:tc>
        <w:tc>
          <w:tcPr>
            <w:tcW w:w="841" w:type="pct"/>
            <w:noWrap w:val="0"/>
            <w:vAlign w:val="top"/>
          </w:tcPr>
          <w:p>
            <w:pPr>
              <w:pStyle w:val="42"/>
              <w:bidi w:val="0"/>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50.65</w:t>
            </w:r>
          </w:p>
        </w:tc>
        <w:tc>
          <w:tcPr>
            <w:tcW w:w="672" w:type="pct"/>
            <w:noWrap w:val="0"/>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40</w:t>
            </w:r>
          </w:p>
        </w:tc>
        <w:tc>
          <w:tcPr>
            <w:tcW w:w="1019" w:type="pct"/>
            <w:noWrap w:val="0"/>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1192" w:type="pct"/>
            <w:noWrap w:val="0"/>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w:t>
            </w:r>
          </w:p>
        </w:tc>
      </w:tr>
    </w:tbl>
    <w:p>
      <w:pPr>
        <w:bidi w:val="0"/>
        <w:rPr>
          <w:rFonts w:hint="default" w:ascii="Times New Roman" w:hAnsi="Times New Roman" w:cs="Times New Roman"/>
          <w:color w:val="auto"/>
        </w:rPr>
      </w:pPr>
      <w:r>
        <w:rPr>
          <w:rFonts w:hint="default" w:ascii="Times New Roman" w:hAnsi="Times New Roman" w:cs="Times New Roman"/>
          <w:color w:val="auto"/>
        </w:rPr>
        <w:t>在最不利气象条件下，预测结果表明：</w:t>
      </w:r>
      <w:r>
        <w:rPr>
          <w:rFonts w:hint="default" w:ascii="Times New Roman" w:hAnsi="Times New Roman" w:cs="Times New Roman"/>
          <w:color w:val="auto"/>
          <w:lang w:val="en-US" w:eastAsia="zh-CN"/>
        </w:rPr>
        <w:t>甲醇</w:t>
      </w:r>
      <w:r>
        <w:rPr>
          <w:rFonts w:hint="default" w:ascii="Times New Roman" w:hAnsi="Times New Roman" w:cs="Times New Roman"/>
          <w:color w:val="auto"/>
        </w:rPr>
        <w:t>下风向最大浓度为</w:t>
      </w:r>
      <w:r>
        <w:rPr>
          <w:rFonts w:hint="default" w:ascii="Times New Roman" w:hAnsi="Times New Roman" w:cs="Times New Roman"/>
          <w:color w:val="auto"/>
          <w:lang w:val="en-US" w:eastAsia="zh-CN"/>
        </w:rPr>
        <w:t xml:space="preserve">1518.3 </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default" w:ascii="Times New Roman" w:hAnsi="Times New Roman" w:cs="Times New Roman"/>
          <w:color w:val="auto"/>
        </w:rPr>
        <w:t>，出现在</w:t>
      </w:r>
      <w:r>
        <w:rPr>
          <w:rFonts w:hint="default" w:ascii="Times New Roman" w:hAnsi="Times New Roman" w:cs="Times New Roman"/>
          <w:color w:val="auto"/>
          <w:lang w:val="en-US" w:eastAsia="zh-CN"/>
        </w:rPr>
        <w:t>0.55</w:t>
      </w:r>
      <w:r>
        <w:rPr>
          <w:rFonts w:hint="default" w:ascii="Times New Roman" w:hAnsi="Times New Roman" w:cs="Times New Roman"/>
          <w:color w:val="auto"/>
        </w:rPr>
        <w:t>min，距离泄漏点</w:t>
      </w:r>
      <w:r>
        <w:rPr>
          <w:rFonts w:hint="default" w:ascii="Times New Roman" w:hAnsi="Times New Roman" w:cs="Times New Roman"/>
          <w:color w:val="auto"/>
          <w:lang w:val="en-US" w:eastAsia="zh-CN"/>
        </w:rPr>
        <w:t>5</w:t>
      </w:r>
      <w:r>
        <w:rPr>
          <w:rFonts w:hint="default" w:ascii="Times New Roman" w:hAnsi="Times New Roman" w:cs="Times New Roman"/>
          <w:color w:val="auto"/>
        </w:rPr>
        <w:t>0m处；甲醛下风向最大浓度为</w:t>
      </w:r>
      <w:r>
        <w:rPr>
          <w:rFonts w:hint="default" w:ascii="Times New Roman" w:hAnsi="Times New Roman" w:cs="Times New Roman"/>
          <w:color w:val="auto"/>
          <w:lang w:val="en-US" w:eastAsia="zh-CN"/>
        </w:rPr>
        <w:t xml:space="preserve">50.65 </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default" w:ascii="Times New Roman" w:hAnsi="Times New Roman" w:cs="Times New Roman"/>
          <w:color w:val="auto"/>
        </w:rPr>
        <w:t>，出现在</w:t>
      </w:r>
      <w:r>
        <w:rPr>
          <w:rFonts w:hint="default" w:ascii="Times New Roman" w:hAnsi="Times New Roman" w:cs="Times New Roman"/>
          <w:color w:val="auto"/>
          <w:lang w:val="en-US" w:eastAsia="zh-CN"/>
        </w:rPr>
        <w:t>0.44</w:t>
      </w:r>
      <w:r>
        <w:rPr>
          <w:rFonts w:hint="default" w:ascii="Times New Roman" w:hAnsi="Times New Roman" w:cs="Times New Roman"/>
          <w:color w:val="auto"/>
        </w:rPr>
        <w:t>min，距离泄漏点</w:t>
      </w:r>
      <w:r>
        <w:rPr>
          <w:rFonts w:hint="default" w:ascii="Times New Roman" w:hAnsi="Times New Roman" w:cs="Times New Roman"/>
          <w:color w:val="auto"/>
          <w:lang w:val="en-US" w:eastAsia="zh-CN"/>
        </w:rPr>
        <w:t>4</w:t>
      </w:r>
      <w:r>
        <w:rPr>
          <w:rFonts w:hint="default" w:ascii="Times New Roman" w:hAnsi="Times New Roman" w:cs="Times New Roman"/>
          <w:color w:val="auto"/>
        </w:rPr>
        <w:t>0m处；毒性终点浓度-2（17</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default" w:ascii="Times New Roman" w:hAnsi="Times New Roman" w:cs="Times New Roman"/>
          <w:color w:val="auto"/>
        </w:rPr>
        <w:t>）出现时间在距污染物质泄漏点</w:t>
      </w:r>
      <w:r>
        <w:rPr>
          <w:rFonts w:hint="default" w:ascii="Times New Roman" w:hAnsi="Times New Roman" w:cs="Times New Roman"/>
          <w:color w:val="auto"/>
          <w:lang w:val="en-US" w:eastAsia="zh-CN"/>
        </w:rPr>
        <w:t>20</w:t>
      </w:r>
      <w:r>
        <w:rPr>
          <w:rFonts w:hint="default" w:ascii="Times New Roman" w:hAnsi="Times New Roman" w:cs="Times New Roman"/>
          <w:color w:val="auto"/>
        </w:rPr>
        <w:t>m。</w:t>
      </w:r>
    </w:p>
    <w:p>
      <w:pPr>
        <w:keepNext w:val="0"/>
        <w:keepLines w:val="0"/>
        <w:widowControl/>
        <w:suppressLineNumbers w:val="0"/>
        <w:jc w:val="left"/>
        <w:rPr>
          <w:rFonts w:hint="default" w:ascii="Times New Roman" w:hAnsi="Times New Roman" w:cs="Times New Roman"/>
        </w:rPr>
      </w:pPr>
      <w:r>
        <w:rPr>
          <w:rFonts w:hint="eastAsia" w:ascii="宋体" w:hAnsi="宋体" w:eastAsia="宋体" w:cs="宋体"/>
          <w:color w:val="000000"/>
          <w:kern w:val="0"/>
          <w:sz w:val="24"/>
          <w:szCs w:val="24"/>
          <w:lang w:val="en-US" w:eastAsia="zh-CN" w:bidi="ar"/>
        </w:rPr>
        <w:t>综上可知，项目主要风险源储罐发生泄漏事故，导致毒性气体事故排放，虽然不会导致评价范围内大规模（敏感点）的伤亡事故，但是仍会造成较为严重的环境后果影响，导致厂内及周边企业员工生活生产受到影响。因此，建设单位</w:t>
      </w:r>
      <w:r>
        <w:rPr>
          <w:rFonts w:hint="eastAsia" w:ascii="宋体" w:hAnsi="宋体" w:cs="宋体"/>
          <w:color w:val="000000"/>
          <w:kern w:val="0"/>
          <w:sz w:val="24"/>
          <w:szCs w:val="24"/>
          <w:lang w:val="en-US" w:eastAsia="zh-CN" w:bidi="ar"/>
        </w:rPr>
        <w:t>通过</w:t>
      </w:r>
      <w:r>
        <w:rPr>
          <w:rFonts w:hint="eastAsia" w:ascii="宋体" w:hAnsi="宋体" w:eastAsia="宋体" w:cs="宋体"/>
          <w:color w:val="000000"/>
          <w:kern w:val="0"/>
          <w:sz w:val="24"/>
          <w:szCs w:val="24"/>
          <w:lang w:val="en-US" w:eastAsia="zh-CN" w:bidi="ar"/>
        </w:rPr>
        <w:t>加强储罐区泄露报警系统建设工作，建立</w:t>
      </w:r>
      <w:r>
        <w:rPr>
          <w:rFonts w:hint="eastAsia" w:ascii="宋体" w:hAnsi="宋体" w:cs="宋体"/>
          <w:color w:val="000000"/>
          <w:kern w:val="0"/>
          <w:sz w:val="24"/>
          <w:szCs w:val="24"/>
          <w:lang w:val="en-US" w:eastAsia="zh-CN" w:bidi="ar"/>
        </w:rPr>
        <w:t>了</w:t>
      </w:r>
      <w:r>
        <w:rPr>
          <w:rFonts w:hint="eastAsia" w:ascii="宋体" w:hAnsi="宋体" w:eastAsia="宋体" w:cs="宋体"/>
          <w:color w:val="000000"/>
          <w:kern w:val="0"/>
          <w:sz w:val="24"/>
          <w:szCs w:val="24"/>
          <w:lang w:val="en-US" w:eastAsia="zh-CN" w:bidi="ar"/>
        </w:rPr>
        <w:t>完善的巡查、管理制度，事故发生后短时间内即可发现，进而切断泄漏源，并在第一时间通知预警，减轻</w:t>
      </w:r>
      <w:r>
        <w:rPr>
          <w:rFonts w:hint="eastAsia" w:ascii="宋体" w:hAnsi="宋体" w:cs="宋体"/>
          <w:color w:val="000000"/>
          <w:kern w:val="0"/>
          <w:sz w:val="24"/>
          <w:szCs w:val="24"/>
          <w:lang w:val="en-US" w:eastAsia="zh-CN" w:bidi="ar"/>
        </w:rPr>
        <w:t>了</w:t>
      </w:r>
      <w:r>
        <w:rPr>
          <w:rFonts w:hint="eastAsia" w:ascii="宋体" w:hAnsi="宋体" w:eastAsia="宋体" w:cs="宋体"/>
          <w:color w:val="000000"/>
          <w:kern w:val="0"/>
          <w:sz w:val="24"/>
          <w:szCs w:val="24"/>
          <w:lang w:val="en-US" w:eastAsia="zh-CN" w:bidi="ar"/>
        </w:rPr>
        <w:t>事故影响</w:t>
      </w:r>
      <w:r>
        <w:rPr>
          <w:rFonts w:hint="default" w:ascii="宋体" w:hAnsi="宋体" w:eastAsia="宋体" w:cs="宋体"/>
          <w:color w:val="000000"/>
          <w:kern w:val="0"/>
          <w:sz w:val="24"/>
          <w:szCs w:val="24"/>
          <w:lang w:val="en-US" w:eastAsia="zh-CN" w:bidi="ar"/>
        </w:rPr>
        <w:t>。</w:t>
      </w:r>
    </w:p>
    <w:p>
      <w:pPr>
        <w:pStyle w:val="5"/>
        <w:bidi w:val="0"/>
        <w:ind w:firstLine="480" w:firstLineChars="200"/>
        <w:rPr>
          <w:rFonts w:hint="default" w:ascii="Times New Roman" w:hAnsi="Times New Roman" w:eastAsia="黑体" w:cs="Times New Roman"/>
          <w:bCs/>
          <w:color w:val="auto"/>
          <w:kern w:val="2"/>
          <w:sz w:val="24"/>
          <w:szCs w:val="32"/>
          <w:lang w:val="en-US" w:eastAsia="zh-CN" w:bidi="ar-SA"/>
        </w:rPr>
      </w:pPr>
      <w:r>
        <w:rPr>
          <w:rFonts w:hint="default" w:ascii="Times New Roman" w:hAnsi="Times New Roman" w:eastAsia="黑体" w:cs="Times New Roman"/>
          <w:bCs/>
          <w:color w:val="auto"/>
          <w:kern w:val="2"/>
          <w:sz w:val="24"/>
          <w:szCs w:val="32"/>
          <w:lang w:val="en-US" w:eastAsia="zh-CN" w:bidi="ar-SA"/>
        </w:rPr>
        <w:t>2</w:t>
      </w:r>
      <w:r>
        <w:rPr>
          <w:rFonts w:hint="eastAsia" w:ascii="Times New Roman" w:hAnsi="Times New Roman" w:eastAsia="黑体" w:cs="Times New Roman"/>
          <w:bCs/>
          <w:color w:val="auto"/>
          <w:kern w:val="2"/>
          <w:sz w:val="24"/>
          <w:szCs w:val="32"/>
          <w:lang w:val="en-US" w:eastAsia="zh-CN" w:bidi="ar-SA"/>
        </w:rPr>
        <w:t>、</w:t>
      </w:r>
      <w:r>
        <w:rPr>
          <w:rFonts w:hint="default" w:ascii="Times New Roman" w:hAnsi="Times New Roman" w:eastAsia="黑体" w:cs="Times New Roman"/>
          <w:bCs/>
          <w:color w:val="auto"/>
          <w:kern w:val="2"/>
          <w:sz w:val="24"/>
          <w:szCs w:val="32"/>
          <w:lang w:val="en-US" w:eastAsia="zh-CN" w:bidi="ar-SA"/>
        </w:rPr>
        <w:t>事故废水污染影响分析</w:t>
      </w:r>
    </w:p>
    <w:p>
      <w:pPr>
        <w:pStyle w:val="55"/>
        <w:ind w:firstLine="480"/>
        <w:rPr>
          <w:rFonts w:hint="default" w:ascii="Times New Roman" w:hAnsi="Times New Roman" w:eastAsia="宋体" w:cs="Times New Roman"/>
          <w:b w:val="0"/>
          <w:bCs w:val="0"/>
          <w:color w:val="000000"/>
          <w:sz w:val="24"/>
          <w:szCs w:val="24"/>
        </w:rPr>
      </w:pPr>
      <w:r>
        <w:rPr>
          <w:rFonts w:hint="default" w:ascii="Times New Roman" w:hAnsi="Times New Roman" w:cs="Times New Roman"/>
          <w:color w:val="000000"/>
          <w:sz w:val="24"/>
          <w:szCs w:val="24"/>
        </w:rPr>
        <w:t>项目在建设过程中拟设置足够容积的事故水池和三级防控体系，另外项目生产废水经管道排至园区污水处理厂。因此，项目事故废水可以做到控制在本厂界内，即便项目发生事故，事故废水也不会排入地表水体，因此本项目事故状态下事故废水不会对地表水水质产生影响。</w:t>
      </w:r>
    </w:p>
    <w:p>
      <w:pPr>
        <w:pStyle w:val="55"/>
        <w:ind w:firstLine="480"/>
        <w:rPr>
          <w:rFonts w:hint="default" w:ascii="Times New Roman" w:hAnsi="Times New Roman" w:cs="Times New Roman"/>
          <w:color w:val="auto"/>
        </w:rPr>
      </w:pPr>
      <w:r>
        <w:rPr>
          <w:rFonts w:hint="default" w:ascii="Times New Roman" w:hAnsi="Times New Roman" w:eastAsia="宋体" w:cs="Times New Roman"/>
          <w:b w:val="0"/>
          <w:bCs w:val="0"/>
          <w:color w:val="000000"/>
          <w:sz w:val="24"/>
          <w:szCs w:val="24"/>
        </w:rPr>
        <w:t>公司发生泄</w:t>
      </w:r>
      <w:r>
        <w:rPr>
          <w:rFonts w:hint="default" w:ascii="Times New Roman" w:hAnsi="Times New Roman" w:eastAsia="宋体" w:cs="Times New Roman"/>
          <w:b w:val="0"/>
          <w:bCs w:val="0"/>
          <w:color w:val="auto"/>
          <w:sz w:val="24"/>
          <w:szCs w:val="24"/>
        </w:rPr>
        <w:t>漏、火灾爆炸事故后，会产生一定量的事故废水</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根据计算，公司设置事故池容积应大于等于</w:t>
      </w:r>
      <w:r>
        <w:rPr>
          <w:rFonts w:hint="default" w:ascii="Times New Roman" w:hAnsi="Times New Roman" w:eastAsia="宋体" w:cs="Times New Roman"/>
          <w:b w:val="0"/>
          <w:bCs w:val="0"/>
          <w:color w:val="auto"/>
          <w:sz w:val="24"/>
          <w:szCs w:val="24"/>
          <w:lang w:val="en-US" w:eastAsia="zh-CN"/>
        </w:rPr>
        <w:t>1438</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eastAsia="宋体" w:cs="Times New Roman"/>
          <w:b w:val="0"/>
          <w:bCs w:val="0"/>
          <w:color w:val="auto"/>
          <w:sz w:val="24"/>
          <w:szCs w:val="24"/>
        </w:rPr>
        <w:t>，用以容纳初期雨水及事故状态下排水。项目事故水池容积为</w:t>
      </w:r>
      <w:r>
        <w:rPr>
          <w:rFonts w:hint="default" w:ascii="Times New Roman" w:hAnsi="Times New Roman" w:eastAsia="宋体" w:cs="Times New Roman"/>
          <w:b w:val="0"/>
          <w:bCs w:val="0"/>
          <w:color w:val="auto"/>
          <w:sz w:val="24"/>
          <w:szCs w:val="24"/>
          <w:lang w:val="en-US" w:eastAsia="zh-CN"/>
        </w:rPr>
        <w:t>26</w:t>
      </w:r>
      <w:r>
        <w:rPr>
          <w:rFonts w:hint="default" w:ascii="Times New Roman" w:hAnsi="Times New Roman" w:eastAsia="TimesNewRomanPSMT" w:cs="Times New Roman"/>
          <w:b w:val="0"/>
          <w:bCs w:val="0"/>
          <w:color w:val="auto"/>
          <w:sz w:val="24"/>
          <w:szCs w:val="24"/>
        </w:rPr>
        <w:t>00</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eastAsia="宋体" w:cs="Times New Roman"/>
          <w:b w:val="0"/>
          <w:bCs w:val="0"/>
          <w:color w:val="auto"/>
          <w:sz w:val="24"/>
          <w:szCs w:val="24"/>
        </w:rPr>
        <w:t>，事故状态</w:t>
      </w:r>
      <w:r>
        <w:rPr>
          <w:rFonts w:hint="default" w:ascii="Times New Roman" w:hAnsi="Times New Roman" w:eastAsia="宋体" w:cs="Times New Roman"/>
          <w:b w:val="0"/>
          <w:bCs w:val="0"/>
          <w:color w:val="000000"/>
          <w:sz w:val="24"/>
          <w:szCs w:val="24"/>
        </w:rPr>
        <w:t>下产生的废水暂存于事故水池内，事故结束后</w:t>
      </w:r>
      <w:r>
        <w:rPr>
          <w:rFonts w:hint="default" w:ascii="Times New Roman" w:hAnsi="Times New Roman" w:cs="Times New Roman"/>
          <w:sz w:val="24"/>
          <w:szCs w:val="24"/>
          <w:highlight w:val="none"/>
        </w:rPr>
        <w:t>分批次进入厂区内的污水处理系统处理，合格后排放</w:t>
      </w:r>
      <w:r>
        <w:rPr>
          <w:rFonts w:hint="default" w:ascii="Times New Roman" w:hAnsi="Times New Roman" w:cs="Times New Roman"/>
          <w:color w:val="auto"/>
        </w:rPr>
        <w:t>。</w:t>
      </w:r>
    </w:p>
    <w:p>
      <w:pPr>
        <w:rPr>
          <w:rFonts w:hint="default" w:ascii="Times New Roman" w:hAnsi="Times New Roman" w:eastAsia="宋体" w:cs="Times New Roman"/>
          <w:color w:val="000000"/>
          <w:sz w:val="28"/>
          <w:szCs w:val="28"/>
        </w:rPr>
      </w:pPr>
    </w:p>
    <w:p>
      <w:pPr>
        <w:pStyle w:val="2"/>
        <w:rPr>
          <w:rFonts w:hint="default" w:ascii="Times New Roman" w:hAnsi="Times New Roman" w:eastAsia="宋体" w:cs="Times New Roman"/>
          <w:color w:val="000000"/>
          <w:sz w:val="28"/>
          <w:szCs w:val="28"/>
        </w:rPr>
      </w:pPr>
    </w:p>
    <w:p>
      <w:pPr>
        <w:pStyle w:val="2"/>
        <w:rPr>
          <w:rFonts w:hint="default" w:ascii="Times New Roman" w:hAnsi="Times New Roman" w:eastAsia="宋体" w:cs="Times New Roman"/>
          <w:color w:val="000000"/>
          <w:sz w:val="28"/>
          <w:szCs w:val="28"/>
        </w:rPr>
      </w:pPr>
    </w:p>
    <w:p>
      <w:pPr>
        <w:pStyle w:val="2"/>
        <w:rPr>
          <w:rFonts w:hint="default" w:ascii="Times New Roman" w:hAnsi="Times New Roman" w:eastAsia="宋体" w:cs="Times New Roman"/>
          <w:color w:val="000000"/>
          <w:sz w:val="28"/>
          <w:szCs w:val="28"/>
        </w:rPr>
      </w:pPr>
    </w:p>
    <w:p>
      <w:pPr>
        <w:pStyle w:val="3"/>
        <w:bidi w:val="0"/>
        <w:rPr>
          <w:rFonts w:hint="default" w:ascii="Times New Roman" w:hAnsi="Times New Roman" w:cs="Times New Roman"/>
          <w:color w:val="auto"/>
        </w:rPr>
        <w:sectPr>
          <w:pgSz w:w="11906" w:h="16838"/>
          <w:pgMar w:top="1417" w:right="1417" w:bottom="1247" w:left="158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pPr>
    </w:p>
    <w:p>
      <w:pPr>
        <w:pStyle w:val="3"/>
        <w:bidi w:val="0"/>
        <w:rPr>
          <w:rFonts w:hint="default" w:ascii="Times New Roman" w:hAnsi="Times New Roman" w:cs="Times New Roman"/>
          <w:color w:val="auto"/>
        </w:rPr>
      </w:pPr>
      <w:bookmarkStart w:id="113" w:name="_Toc13344"/>
      <w:r>
        <w:rPr>
          <w:rFonts w:hint="default" w:ascii="Times New Roman" w:hAnsi="Times New Roman" w:cs="Times New Roman"/>
          <w:color w:val="auto"/>
        </w:rPr>
        <w:t>5 现有环境风险防控和应急措施差距分析</w:t>
      </w:r>
      <w:bookmarkEnd w:id="105"/>
      <w:bookmarkEnd w:id="106"/>
      <w:bookmarkEnd w:id="107"/>
      <w:bookmarkEnd w:id="113"/>
    </w:p>
    <w:p>
      <w:pPr>
        <w:autoSpaceDE w:val="0"/>
        <w:autoSpaceDN w:val="0"/>
        <w:adjustRightInd w:val="0"/>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本次评估从以下几个方面对现有环境风险防控与应急措施的完备性、可靠性和有效性进行分析论证，找出差距、问题，提出需要整改的短期、中期和长期项目内容。</w:t>
      </w:r>
    </w:p>
    <w:p>
      <w:pPr>
        <w:bidi w:val="0"/>
        <w:ind w:left="0" w:leftChars="0" w:firstLine="0" w:firstLineChars="0"/>
        <w:rPr>
          <w:rFonts w:hint="default" w:ascii="Times New Roman" w:hAnsi="Times New Roman" w:eastAsia="黑体" w:cs="Times New Roman"/>
          <w:bCs/>
          <w:kern w:val="2"/>
          <w:sz w:val="28"/>
          <w:szCs w:val="32"/>
          <w:lang w:val="en-US" w:eastAsia="zh-CN" w:bidi="ar-SA"/>
        </w:rPr>
      </w:pPr>
      <w:r>
        <w:rPr>
          <w:rFonts w:hint="eastAsia" w:ascii="Times New Roman" w:hAnsi="Times New Roman" w:eastAsia="黑体" w:cs="Times New Roman"/>
          <w:bCs/>
          <w:kern w:val="2"/>
          <w:sz w:val="28"/>
          <w:szCs w:val="32"/>
          <w:lang w:val="en-US" w:eastAsia="zh-CN" w:bidi="ar-SA"/>
        </w:rPr>
        <w:t>5.1 环境风险管理制度</w:t>
      </w:r>
    </w:p>
    <w:p>
      <w:pPr>
        <w:pStyle w:val="5"/>
        <w:bidi w:val="0"/>
        <w:rPr>
          <w:rFonts w:hint="eastAsia"/>
        </w:rPr>
      </w:pPr>
      <w:bookmarkStart w:id="114" w:name="_Toc6513"/>
      <w:bookmarkStart w:id="115" w:name="_Toc13057657"/>
      <w:bookmarkStart w:id="116" w:name="_Toc8772162"/>
      <w:bookmarkStart w:id="117" w:name="_Toc7191012"/>
      <w:r>
        <w:rPr>
          <w:rFonts w:hint="eastAsia"/>
        </w:rPr>
        <w:t>5.1.1环境风险防控和应急措施制度建设情况</w:t>
      </w:r>
      <w:bookmarkEnd w:id="114"/>
      <w:bookmarkEnd w:id="115"/>
      <w:bookmarkEnd w:id="116"/>
      <w:bookmarkEnd w:id="117"/>
    </w:p>
    <w:p>
      <w:pPr>
        <w:ind w:firstLine="480" w:firstLineChars="200"/>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本公司正在建立环境风险防控和应急管理制度，同时组织建立环境应急管理体系。</w:t>
      </w:r>
    </w:p>
    <w:p>
      <w:pPr>
        <w:ind w:firstLine="480" w:firstLineChars="200"/>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2、</w:t>
      </w:r>
      <w:r>
        <w:rPr>
          <w:rFonts w:hint="default" w:ascii="Times New Roman" w:hAnsi="Times New Roman" w:eastAsia="宋体" w:cs="Times New Roman"/>
          <w:color w:val="auto"/>
          <w:sz w:val="24"/>
          <w:szCs w:val="24"/>
          <w:lang w:val="en-US" w:eastAsia="zh-CN"/>
        </w:rPr>
        <w:t>本公司已建立应急组织机构，指挥部由总指挥和副总指挥组成，下设应急管理办公室，应急救援队伍主要由</w:t>
      </w:r>
      <w:r>
        <w:rPr>
          <w:rFonts w:hint="default" w:ascii="Times New Roman" w:hAnsi="Times New Roman" w:eastAsia="宋体" w:cs="Times New Roman"/>
          <w:color w:val="auto"/>
          <w:lang w:val="en-US" w:eastAsia="zh-CN"/>
        </w:rPr>
        <w:t>环境应急处置组</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环境应急监测组</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警戒疏散组</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医疗救护组</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现场处置组</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应急保障组</w:t>
      </w:r>
      <w:r>
        <w:rPr>
          <w:rFonts w:hint="eastAsia" w:ascii="Times New Roman" w:hAnsi="Times New Roman" w:eastAsia="宋体" w:cs="Times New Roman"/>
          <w:color w:val="auto"/>
          <w:lang w:eastAsia="zh-CN"/>
        </w:rPr>
        <w:t>及</w:t>
      </w:r>
      <w:r>
        <w:rPr>
          <w:rFonts w:hint="default" w:ascii="Times New Roman" w:hAnsi="Times New Roman" w:eastAsia="宋体" w:cs="Times New Roman"/>
          <w:color w:val="auto"/>
          <w:lang w:val="en-US" w:eastAsia="zh-CN"/>
        </w:rPr>
        <w:t>通讯联络组</w:t>
      </w:r>
      <w:r>
        <w:rPr>
          <w:rFonts w:hint="default" w:ascii="Times New Roman" w:hAnsi="Times New Roman" w:eastAsia="宋体" w:cs="Times New Roman"/>
          <w:color w:val="auto"/>
          <w:sz w:val="24"/>
          <w:szCs w:val="24"/>
          <w:lang w:val="en-US" w:eastAsia="zh-CN"/>
        </w:rPr>
        <w:t>组组成，各专业救援组织负责人明确，做到了责任到人。</w:t>
      </w:r>
    </w:p>
    <w:p>
      <w:pPr>
        <w:ind w:firstLine="480" w:firstLineChars="200"/>
        <w:textAlignment w:val="baseline"/>
        <w:rPr>
          <w:rFonts w:hint="eastAsia" w:ascii="宋体" w:hAnsi="宋体" w:eastAsia="宋体" w:cs="宋体"/>
          <w:color w:val="auto"/>
          <w:sz w:val="24"/>
          <w:szCs w:val="24"/>
          <w:lang w:val="en-US" w:eastAsia="zh-CN"/>
        </w:rPr>
      </w:pPr>
      <w:r>
        <w:rPr>
          <w:rFonts w:hint="default" w:ascii="Times New Roman" w:hAnsi="Times New Roman" w:eastAsia="宋体" w:cs="Times New Roman"/>
          <w:color w:val="auto"/>
          <w:sz w:val="24"/>
          <w:szCs w:val="24"/>
        </w:rPr>
        <w:t>3、</w:t>
      </w:r>
      <w:r>
        <w:rPr>
          <w:rFonts w:hint="default" w:ascii="Times New Roman" w:hAnsi="Times New Roman" w:eastAsia="宋体" w:cs="Times New Roman"/>
          <w:color w:val="auto"/>
          <w:sz w:val="24"/>
          <w:szCs w:val="24"/>
          <w:lang w:val="en-US" w:eastAsia="zh-CN"/>
        </w:rPr>
        <w:t>安</w:t>
      </w:r>
      <w:r>
        <w:rPr>
          <w:rFonts w:hint="eastAsia" w:ascii="宋体" w:hAnsi="宋体" w:eastAsia="宋体" w:cs="宋体"/>
          <w:color w:val="auto"/>
          <w:sz w:val="24"/>
          <w:szCs w:val="24"/>
          <w:lang w:val="en-US" w:eastAsia="zh-CN"/>
        </w:rPr>
        <w:t>全生产隐患定期排查、环境风险设施定期巡检和维护责任制度已落实，重点部位设专人巡检。</w:t>
      </w:r>
    </w:p>
    <w:p>
      <w:pPr>
        <w:pStyle w:val="5"/>
        <w:bidi w:val="0"/>
        <w:rPr>
          <w:rFonts w:hint="eastAsia"/>
        </w:rPr>
      </w:pPr>
      <w:bookmarkStart w:id="118" w:name="_Toc13057658"/>
      <w:bookmarkStart w:id="119" w:name="_Toc30165"/>
      <w:bookmarkStart w:id="120" w:name="_Toc7191013"/>
      <w:bookmarkStart w:id="121" w:name="_Toc8772163"/>
      <w:r>
        <w:rPr>
          <w:rFonts w:hint="eastAsia"/>
        </w:rPr>
        <w:t>5.1.2职工环境风险和环境应急管理宣传和培训</w:t>
      </w:r>
      <w:bookmarkEnd w:id="118"/>
      <w:bookmarkEnd w:id="119"/>
      <w:bookmarkEnd w:id="120"/>
      <w:bookmarkEnd w:id="121"/>
    </w:p>
    <w:p>
      <w:pPr>
        <w:ind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为维护公司生产运营的正常运转，不断提高全体员工的整体素质，防范各类事故的发生，确保员工的身体健康，增强员工的自我保护意识，促进公司事业的全面发展，结合公司的实际情况，在完成生产任务的同时，切实抓好职工培训教育，制定本年度培训计划。</w:t>
      </w:r>
    </w:p>
    <w:p>
      <w:pPr>
        <w:ind w:firstLine="480" w:firstLineChars="200"/>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员工培训计划的主要内容包括：物料特性与操作注意事项、环境管理体系基础知识、危险源辨识及分类方法、应急救援预案学习与演练等。</w:t>
      </w:r>
    </w:p>
    <w:p>
      <w:pPr>
        <w:autoSpaceDE w:val="0"/>
        <w:autoSpaceDN w:val="0"/>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除培训外，公司应加强宣传教育，包括环境应急管理“一案三制”，“一案”是指突发环境事件应急预案，“三制”是指环境应急管理机制、环境应急运行体制、环境应急法制。应急管理体制主要指建立健全集中统一、坚强有力、政令畅通的指挥机构；运行机制主要指建立健全监测预警机制、应急信息报告机制、应急决策和协调机制；而法制建设方面，主要通过依法行政，努力使突发环境事件的应急处置逐步走上规范化、制度化和法制化轨道。</w:t>
      </w:r>
    </w:p>
    <w:p>
      <w:pPr>
        <w:autoSpaceDE w:val="0"/>
        <w:autoSpaceDN w:val="0"/>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公司还应加强应急法律法规的宣传与培训，包括：《中华人民共和国突发事件应对法》、《突发环境事件管理办法》、《国家突发环境事件应急预案》、《企业事业单位突发环境事件应急预案管理办法》、《企业突发环境事件风险评估指南》、《突发环境事件应急监测技术规范》、《突发环境事件调查处理办法》等。</w:t>
      </w:r>
    </w:p>
    <w:p>
      <w:pPr>
        <w:autoSpaceDE w:val="0"/>
        <w:autoSpaceDN w:val="0"/>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公司组织培训人员参加应急事故救援讲座和学习，实际操作问题要定期进行演练。</w:t>
      </w:r>
      <w:r>
        <w:rPr>
          <w:rFonts w:hint="eastAsia" w:ascii="宋体" w:hAnsi="宋体" w:eastAsia="宋体" w:cs="宋体"/>
          <w:color w:val="auto"/>
          <w:sz w:val="24"/>
          <w:szCs w:val="24"/>
          <w:lang w:val="en-US" w:eastAsia="zh-CN"/>
        </w:rPr>
        <w:t>综合应急演练每年不少于一次，专项应急演练视情况每年不少于一次</w:t>
      </w:r>
      <w:r>
        <w:rPr>
          <w:rFonts w:hint="eastAsia" w:ascii="宋体" w:hAnsi="宋体" w:eastAsia="宋体" w:cs="宋体"/>
          <w:color w:val="auto"/>
          <w:sz w:val="24"/>
          <w:szCs w:val="24"/>
        </w:rPr>
        <w:t>。</w:t>
      </w:r>
    </w:p>
    <w:p>
      <w:pPr>
        <w:pStyle w:val="5"/>
        <w:bidi w:val="0"/>
        <w:rPr>
          <w:rFonts w:hint="eastAsia"/>
        </w:rPr>
      </w:pPr>
      <w:bookmarkStart w:id="122" w:name="_Toc8772164"/>
      <w:bookmarkStart w:id="123" w:name="_Toc13057659"/>
      <w:bookmarkStart w:id="124" w:name="_Toc26558"/>
      <w:bookmarkStart w:id="125" w:name="_Toc7191014"/>
      <w:r>
        <w:rPr>
          <w:rFonts w:hint="eastAsia"/>
        </w:rPr>
        <w:t>5.1.3突发环境事件信息报告制度及执行情况</w:t>
      </w:r>
      <w:bookmarkEnd w:id="122"/>
      <w:bookmarkEnd w:id="123"/>
      <w:bookmarkEnd w:id="124"/>
      <w:bookmarkEnd w:id="125"/>
    </w:p>
    <w:p>
      <w:pPr>
        <w:autoSpaceDE w:val="0"/>
        <w:autoSpaceDN w:val="0"/>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本公司尚未建立明确的突发环境事件信息报告制度，只在公司突发环境事件应急预案中提出信息报告程序。</w:t>
      </w:r>
    </w:p>
    <w:p>
      <w:pPr>
        <w:autoSpaceDE w:val="0"/>
        <w:autoSpaceDN w:val="0"/>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本公司此方面存在的差距分析如下：应尽快建立信息报告制度，并以文件形式下发、通告、学习。</w:t>
      </w:r>
    </w:p>
    <w:p>
      <w:pPr>
        <w:autoSpaceDE w:val="0"/>
        <w:autoSpaceDN w:val="0"/>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1、报告形式有口头、电话、书面报告；</w:t>
      </w:r>
    </w:p>
    <w:p>
      <w:pPr>
        <w:autoSpaceDE w:val="0"/>
        <w:autoSpaceDN w:val="0"/>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2、突发环境风险事故的报告分为初报、续报和处理结果报告(终报)三类。</w:t>
      </w:r>
    </w:p>
    <w:p>
      <w:pPr>
        <w:autoSpaceDE w:val="0"/>
        <w:autoSpaceDN w:val="0"/>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3、发生或即将发生突发环境风险事件的信息得到核实后，公司应急人员应当立即赶赴现场调查了解情况，组织指挥有关人员进行先期处置，采取措施努力控制污染和生态破坏事故继续扩大。</w:t>
      </w:r>
    </w:p>
    <w:p>
      <w:pPr>
        <w:autoSpaceDE w:val="0"/>
        <w:autoSpaceDN w:val="0"/>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信息上报要求</w:t>
      </w:r>
      <w:r>
        <w:rPr>
          <w:rFonts w:hint="default" w:ascii="Times New Roman" w:hAnsi="Times New Roman" w:eastAsia="宋体" w:cs="Times New Roman"/>
          <w:color w:val="auto"/>
          <w:sz w:val="24"/>
          <w:szCs w:val="24"/>
        </w:rPr>
        <w:t>见表5.1-1</w:t>
      </w:r>
      <w:r>
        <w:rPr>
          <w:rFonts w:hint="eastAsia" w:ascii="宋体" w:hAnsi="宋体" w:eastAsia="宋体" w:cs="宋体"/>
          <w:color w:val="auto"/>
          <w:sz w:val="24"/>
          <w:szCs w:val="24"/>
        </w:rPr>
        <w:t>。</w:t>
      </w:r>
    </w:p>
    <w:p>
      <w:pPr>
        <w:spacing w:line="360" w:lineRule="auto"/>
        <w:ind w:left="0" w:leftChars="0" w:firstLine="0" w:firstLineChars="0"/>
        <w:jc w:val="center"/>
        <w:rPr>
          <w:rFonts w:hint="eastAsia" w:ascii="Times New Roman" w:hAnsi="Times New Roman" w:eastAsia="黑体" w:cs="Times New Roman"/>
          <w:color w:val="auto"/>
          <w:kern w:val="2"/>
          <w:sz w:val="24"/>
          <w:szCs w:val="32"/>
          <w:lang w:val="en-US" w:eastAsia="zh-CN" w:bidi="ar-SA"/>
        </w:rPr>
      </w:pPr>
      <w:r>
        <w:rPr>
          <w:rFonts w:hint="eastAsia" w:ascii="Times New Roman" w:hAnsi="Times New Roman" w:eastAsia="黑体" w:cs="Times New Roman"/>
          <w:color w:val="auto"/>
          <w:kern w:val="2"/>
          <w:sz w:val="24"/>
          <w:szCs w:val="32"/>
          <w:lang w:val="en-US" w:eastAsia="zh-CN" w:bidi="ar-SA"/>
        </w:rPr>
        <w:t>表5.1-1  信息上报要求一览表</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36"/>
        <w:gridCol w:w="57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3" w:hRule="atLeast"/>
          <w:jc w:val="center"/>
        </w:trPr>
        <w:tc>
          <w:tcPr>
            <w:tcW w:w="781" w:type="dxa"/>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项目</w:t>
            </w:r>
          </w:p>
        </w:tc>
        <w:tc>
          <w:tcPr>
            <w:tcW w:w="2336" w:type="dxa"/>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事件要求</w:t>
            </w:r>
          </w:p>
        </w:tc>
        <w:tc>
          <w:tcPr>
            <w:tcW w:w="5717" w:type="dxa"/>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报告内容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1" w:type="dxa"/>
            <w:vMerge w:val="restart"/>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初报</w:t>
            </w:r>
          </w:p>
        </w:tc>
        <w:tc>
          <w:tcPr>
            <w:tcW w:w="2336" w:type="dxa"/>
            <w:vMerge w:val="restart"/>
            <w:noWrap w:val="0"/>
            <w:vAlign w:val="center"/>
          </w:tcPr>
          <w:p>
            <w:pPr>
              <w:pStyle w:val="54"/>
              <w:spacing w:line="32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在发现或得知突发环境事件信息后首次上报</w:t>
            </w:r>
          </w:p>
        </w:tc>
        <w:tc>
          <w:tcPr>
            <w:tcW w:w="5717" w:type="dxa"/>
            <w:noWrap w:val="0"/>
            <w:vAlign w:val="center"/>
          </w:tcPr>
          <w:p>
            <w:pPr>
              <w:pStyle w:val="54"/>
              <w:spacing w:line="32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1、事件基本情况。时间、地点、信息来源、事件起因和性质、基本过程、主要污染物和数量、人员受害情况、环境敏感点受影响情况(周边人口集中区、是否涉及饮用水源)、事件发展趋势；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3" w:hRule="atLeast"/>
          <w:jc w:val="center"/>
        </w:trPr>
        <w:tc>
          <w:tcPr>
            <w:tcW w:w="781" w:type="dxa"/>
            <w:vMerge w:val="continue"/>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p>
        </w:tc>
        <w:tc>
          <w:tcPr>
            <w:tcW w:w="2336" w:type="dxa"/>
            <w:vMerge w:val="continue"/>
            <w:noWrap w:val="0"/>
            <w:vAlign w:val="center"/>
          </w:tcPr>
          <w:p>
            <w:pPr>
              <w:pStyle w:val="54"/>
              <w:spacing w:line="320" w:lineRule="exact"/>
              <w:ind w:firstLine="0" w:firstLineChars="0"/>
              <w:jc w:val="center"/>
              <w:rPr>
                <w:rFonts w:hint="default" w:ascii="Times New Roman" w:hAnsi="Times New Roman" w:eastAsia="宋体" w:cs="Times New Roman"/>
                <w:color w:val="auto"/>
                <w:sz w:val="21"/>
                <w:szCs w:val="21"/>
                <w:lang w:val="en-US" w:eastAsia="zh-CN"/>
              </w:rPr>
            </w:pPr>
          </w:p>
        </w:tc>
        <w:tc>
          <w:tcPr>
            <w:tcW w:w="5717" w:type="dxa"/>
            <w:noWrap w:val="0"/>
            <w:vAlign w:val="center"/>
          </w:tcPr>
          <w:p>
            <w:pPr>
              <w:pStyle w:val="54"/>
              <w:spacing w:line="32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2、已采取的措施。领导批示情况、赶赴现场情况、采取处置措施情况、处置效果；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1" w:type="dxa"/>
            <w:vMerge w:val="continue"/>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p>
        </w:tc>
        <w:tc>
          <w:tcPr>
            <w:tcW w:w="2336" w:type="dxa"/>
            <w:vMerge w:val="continue"/>
            <w:noWrap w:val="0"/>
            <w:vAlign w:val="center"/>
          </w:tcPr>
          <w:p>
            <w:pPr>
              <w:pStyle w:val="54"/>
              <w:spacing w:line="320" w:lineRule="exact"/>
              <w:ind w:firstLine="0" w:firstLineChars="0"/>
              <w:jc w:val="center"/>
              <w:rPr>
                <w:rFonts w:hint="default" w:ascii="Times New Roman" w:hAnsi="Times New Roman" w:eastAsia="宋体" w:cs="Times New Roman"/>
                <w:color w:val="auto"/>
                <w:sz w:val="21"/>
                <w:szCs w:val="21"/>
                <w:lang w:val="en-US" w:eastAsia="zh-CN"/>
              </w:rPr>
            </w:pPr>
          </w:p>
        </w:tc>
        <w:tc>
          <w:tcPr>
            <w:tcW w:w="5717" w:type="dxa"/>
            <w:noWrap w:val="0"/>
            <w:vAlign w:val="center"/>
          </w:tcPr>
          <w:p>
            <w:pPr>
              <w:pStyle w:val="54"/>
              <w:spacing w:line="32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3、应急监测情况。注意要明确采样的具体时间、地点(必须绘制采样点位图)、适用标准；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1" w:type="dxa"/>
            <w:vMerge w:val="continue"/>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p>
        </w:tc>
        <w:tc>
          <w:tcPr>
            <w:tcW w:w="2336" w:type="dxa"/>
            <w:vMerge w:val="continue"/>
            <w:noWrap w:val="0"/>
            <w:vAlign w:val="center"/>
          </w:tcPr>
          <w:p>
            <w:pPr>
              <w:pStyle w:val="54"/>
              <w:spacing w:line="320" w:lineRule="exact"/>
              <w:ind w:firstLine="0" w:firstLineChars="0"/>
              <w:jc w:val="center"/>
              <w:rPr>
                <w:rFonts w:hint="default" w:ascii="Times New Roman" w:hAnsi="Times New Roman" w:eastAsia="宋体" w:cs="Times New Roman"/>
                <w:color w:val="auto"/>
                <w:sz w:val="21"/>
                <w:szCs w:val="21"/>
                <w:lang w:val="en-US" w:eastAsia="zh-CN"/>
              </w:rPr>
            </w:pPr>
          </w:p>
        </w:tc>
        <w:tc>
          <w:tcPr>
            <w:tcW w:w="5717" w:type="dxa"/>
            <w:noWrap w:val="0"/>
            <w:vAlign w:val="center"/>
          </w:tcPr>
          <w:p>
            <w:pPr>
              <w:pStyle w:val="54"/>
              <w:spacing w:line="32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4、包括采取的措施、需要上级环保部门支援的工作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1" w:type="dxa"/>
            <w:vMerge w:val="restart"/>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续报</w:t>
            </w:r>
          </w:p>
        </w:tc>
        <w:tc>
          <w:tcPr>
            <w:tcW w:w="2336" w:type="dxa"/>
            <w:vMerge w:val="restart"/>
            <w:noWrap w:val="0"/>
            <w:vAlign w:val="center"/>
          </w:tcPr>
          <w:p>
            <w:pPr>
              <w:pStyle w:val="54"/>
              <w:spacing w:line="32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查清有关基本情况、事件发展情况后随时上报</w:t>
            </w:r>
          </w:p>
        </w:tc>
        <w:tc>
          <w:tcPr>
            <w:tcW w:w="5717" w:type="dxa"/>
            <w:noWrap w:val="0"/>
            <w:vAlign w:val="center"/>
          </w:tcPr>
          <w:p>
            <w:pPr>
              <w:pStyle w:val="54"/>
              <w:spacing w:line="32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1、事件最新进展。人员、环境受影响最新情况、事件重大变化情况、采取应对措施的效果；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1" w:type="dxa"/>
            <w:vMerge w:val="continue"/>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p>
        </w:tc>
        <w:tc>
          <w:tcPr>
            <w:tcW w:w="2336" w:type="dxa"/>
            <w:vMerge w:val="continue"/>
            <w:noWrap w:val="0"/>
            <w:vAlign w:val="center"/>
          </w:tcPr>
          <w:p>
            <w:pPr>
              <w:pStyle w:val="54"/>
              <w:spacing w:line="320" w:lineRule="exact"/>
              <w:ind w:firstLine="0" w:firstLineChars="0"/>
              <w:jc w:val="center"/>
              <w:rPr>
                <w:rFonts w:hint="default" w:ascii="Times New Roman" w:hAnsi="Times New Roman" w:eastAsia="宋体" w:cs="Times New Roman"/>
                <w:color w:val="auto"/>
                <w:sz w:val="21"/>
                <w:szCs w:val="21"/>
                <w:lang w:val="en-US" w:eastAsia="zh-CN"/>
              </w:rPr>
            </w:pPr>
          </w:p>
        </w:tc>
        <w:tc>
          <w:tcPr>
            <w:tcW w:w="5717" w:type="dxa"/>
            <w:noWrap w:val="0"/>
            <w:vAlign w:val="center"/>
          </w:tcPr>
          <w:p>
            <w:pPr>
              <w:pStyle w:val="54"/>
              <w:spacing w:line="32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2、监测情况；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1" w:type="dxa"/>
            <w:vMerge w:val="continue"/>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p>
        </w:tc>
        <w:tc>
          <w:tcPr>
            <w:tcW w:w="2336" w:type="dxa"/>
            <w:vMerge w:val="continue"/>
            <w:noWrap w:val="0"/>
            <w:vAlign w:val="center"/>
          </w:tcPr>
          <w:p>
            <w:pPr>
              <w:pStyle w:val="54"/>
              <w:spacing w:line="320" w:lineRule="exact"/>
              <w:ind w:firstLine="0" w:firstLineChars="0"/>
              <w:jc w:val="center"/>
              <w:rPr>
                <w:rFonts w:hint="default" w:ascii="Times New Roman" w:hAnsi="Times New Roman" w:eastAsia="宋体" w:cs="Times New Roman"/>
                <w:color w:val="auto"/>
                <w:sz w:val="21"/>
                <w:szCs w:val="21"/>
                <w:lang w:val="en-US" w:eastAsia="zh-CN"/>
              </w:rPr>
            </w:pPr>
          </w:p>
        </w:tc>
        <w:tc>
          <w:tcPr>
            <w:tcW w:w="5717" w:type="dxa"/>
            <w:noWrap w:val="0"/>
            <w:vAlign w:val="center"/>
          </w:tcPr>
          <w:p>
            <w:pPr>
              <w:pStyle w:val="54"/>
              <w:spacing w:line="32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3、需进一步采取的措施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1" w:type="dxa"/>
            <w:noWrap w:val="0"/>
            <w:vAlign w:val="center"/>
          </w:tcPr>
          <w:p>
            <w:pPr>
              <w:pStyle w:val="54"/>
              <w:spacing w:line="320" w:lineRule="exact"/>
              <w:ind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终报</w:t>
            </w:r>
          </w:p>
        </w:tc>
        <w:tc>
          <w:tcPr>
            <w:tcW w:w="2336" w:type="dxa"/>
            <w:noWrap w:val="0"/>
            <w:vAlign w:val="center"/>
          </w:tcPr>
          <w:p>
            <w:pPr>
              <w:pStyle w:val="54"/>
              <w:spacing w:line="320" w:lineRule="exact"/>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突发环境事件处理完毕后立即上报</w:t>
            </w:r>
          </w:p>
        </w:tc>
        <w:tc>
          <w:tcPr>
            <w:tcW w:w="5717" w:type="dxa"/>
            <w:noWrap w:val="0"/>
            <w:vAlign w:val="center"/>
          </w:tcPr>
          <w:p>
            <w:pPr>
              <w:pStyle w:val="54"/>
              <w:spacing w:line="320" w:lineRule="exact"/>
              <w:ind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事件发生的原因、经过，处置情况，监测结果，应对经验，开展损害评估情况，发生事件应吸取的教训，调查处理情况等</w:t>
            </w:r>
          </w:p>
        </w:tc>
      </w:tr>
    </w:tbl>
    <w:p>
      <w:pPr>
        <w:pStyle w:val="4"/>
        <w:bidi w:val="0"/>
        <w:rPr>
          <w:rFonts w:hint="default"/>
          <w:lang w:val="en-US" w:eastAsia="zh-CN"/>
        </w:rPr>
      </w:pPr>
      <w:bookmarkStart w:id="126" w:name="_Toc23442"/>
      <w:r>
        <w:rPr>
          <w:rFonts w:hint="eastAsia"/>
          <w:lang w:val="en-US" w:eastAsia="zh-CN"/>
        </w:rPr>
        <w:t>5.2 环境风险防控与应急措施</w:t>
      </w:r>
      <w:bookmarkEnd w:id="126"/>
    </w:p>
    <w:p>
      <w:pPr>
        <w:bidi w:val="0"/>
        <w:rPr>
          <w:rFonts w:hint="default" w:ascii="Times New Roman" w:hAnsi="Times New Roman" w:cs="Times New Roman"/>
          <w:color w:val="auto"/>
        </w:rPr>
      </w:pPr>
      <w:r>
        <w:rPr>
          <w:rFonts w:hint="default" w:ascii="Times New Roman" w:hAnsi="Times New Roman" w:cs="Times New Roman"/>
          <w:color w:val="auto"/>
        </w:rPr>
        <w:t>根据之前对企业有关情况的分析，我们从以下几个方面对企业现有环境风险防控与应急措施的完备性、可靠性和有效性进行了分析论证，并找出了其中的差距和问题，提出了需要整改的项目内容。具体如下表5.</w:t>
      </w:r>
      <w:r>
        <w:rPr>
          <w:rFonts w:hint="eastAsia" w:ascii="Times New Roman" w:hAnsi="Times New Roman" w:cs="Times New Roman"/>
          <w:color w:val="auto"/>
          <w:lang w:val="en-US" w:eastAsia="zh-CN"/>
        </w:rPr>
        <w:t>2</w:t>
      </w:r>
      <w:r>
        <w:rPr>
          <w:rFonts w:hint="default" w:ascii="Times New Roman" w:hAnsi="Times New Roman" w:cs="Times New Roman"/>
          <w:color w:val="auto"/>
        </w:rPr>
        <w:t>-12所示。</w:t>
      </w:r>
    </w:p>
    <w:p>
      <w:pPr>
        <w:pStyle w:val="36"/>
        <w:bidi w:val="0"/>
        <w:rPr>
          <w:rFonts w:hint="default" w:ascii="Times New Roman" w:hAnsi="Times New Roman" w:cs="Times New Roman"/>
          <w:color w:val="auto"/>
        </w:rPr>
      </w:pPr>
      <w:r>
        <w:rPr>
          <w:rFonts w:hint="default" w:ascii="Times New Roman" w:hAnsi="Times New Roman" w:cs="Times New Roman"/>
          <w:color w:val="auto"/>
        </w:rPr>
        <w:t>表5.</w:t>
      </w:r>
      <w:r>
        <w:rPr>
          <w:rFonts w:hint="eastAsia" w:ascii="Times New Roman" w:hAnsi="Times New Roman" w:cs="Times New Roman"/>
          <w:color w:val="auto"/>
          <w:lang w:val="en-US" w:eastAsia="zh-CN"/>
        </w:rPr>
        <w:t>2</w:t>
      </w:r>
      <w:r>
        <w:rPr>
          <w:rFonts w:hint="default" w:ascii="Times New Roman" w:hAnsi="Times New Roman" w:cs="Times New Roman"/>
          <w:color w:val="auto"/>
        </w:rPr>
        <w:t>-1 公司现有环境风险防控与应急措施差距分析</w:t>
      </w:r>
    </w:p>
    <w:tbl>
      <w:tblPr>
        <w:tblStyle w:val="29"/>
        <w:tblW w:w="906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6"/>
        <w:gridCol w:w="3437"/>
        <w:gridCol w:w="47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类别</w:t>
            </w: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相关要求</w:t>
            </w:r>
          </w:p>
        </w:tc>
        <w:tc>
          <w:tcPr>
            <w:tcW w:w="47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差距分析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restart"/>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企业大气、水环境风险防控措施及突发大气、水环境事件发生情况</w:t>
            </w: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毒性气体泄露监控预警措施</w:t>
            </w:r>
          </w:p>
        </w:tc>
        <w:tc>
          <w:tcPr>
            <w:tcW w:w="4737" w:type="dxa"/>
            <w:tcBorders>
              <w:tl2br w:val="nil"/>
              <w:tr2bl w:val="nil"/>
            </w:tcBorders>
            <w:noWrap w:val="0"/>
            <w:vAlign w:val="center"/>
          </w:tcPr>
          <w:p>
            <w:pPr>
              <w:pStyle w:val="42"/>
              <w:bidi w:val="0"/>
              <w:rPr>
                <w:rFonts w:hint="default" w:ascii="Times New Roman" w:hAnsi="Times New Roman" w:cs="Times New Roman"/>
                <w:color w:val="auto"/>
                <w:lang w:val="en-US" w:eastAsia="zh-CN"/>
              </w:rPr>
            </w:pPr>
            <w:r>
              <w:rPr>
                <w:rFonts w:hint="default" w:ascii="Times New Roman" w:hAnsi="Times New Roman" w:cs="Times New Roman"/>
                <w:color w:val="auto"/>
                <w:highlight w:val="none"/>
                <w:lang w:val="en-US" w:eastAsia="zh-CN"/>
              </w:rPr>
              <w:t>设置甲醛</w:t>
            </w:r>
            <w:r>
              <w:rPr>
                <w:rFonts w:hint="default" w:ascii="Times New Roman" w:hAnsi="Times New Roman" w:cs="Times New Roman"/>
                <w:color w:val="auto"/>
                <w:highlight w:val="none"/>
              </w:rPr>
              <w:t>毒性气体泄露</w:t>
            </w:r>
            <w:r>
              <w:rPr>
                <w:rFonts w:hint="default" w:ascii="Times New Roman" w:hAnsi="Times New Roman" w:cs="Times New Roman"/>
                <w:color w:val="auto"/>
                <w:highlight w:val="none"/>
                <w:lang w:val="en-US" w:eastAsia="zh-CN"/>
              </w:rPr>
              <w:t>报警装置、甲醇</w:t>
            </w:r>
            <w:r>
              <w:rPr>
                <w:rFonts w:hint="default" w:ascii="Times New Roman" w:hAnsi="Times New Roman" w:cs="Times New Roman"/>
                <w:color w:val="000000"/>
              </w:rPr>
              <w:t>可燃气体报警器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continue"/>
            <w:tcBorders>
              <w:tl2br w:val="nil"/>
              <w:tr2bl w:val="nil"/>
            </w:tcBorders>
            <w:noWrap w:val="0"/>
            <w:vAlign w:val="center"/>
          </w:tcPr>
          <w:p>
            <w:pPr>
              <w:pStyle w:val="42"/>
              <w:bidi w:val="0"/>
              <w:rPr>
                <w:rFonts w:hint="default" w:ascii="Times New Roman" w:hAnsi="Times New Roman" w:cs="Times New Roman"/>
                <w:color w:val="auto"/>
              </w:rPr>
            </w:pP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符合防护距离情况</w:t>
            </w:r>
          </w:p>
        </w:tc>
        <w:tc>
          <w:tcPr>
            <w:tcW w:w="47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符合环评及批复文件防护距离要求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continue"/>
            <w:tcBorders>
              <w:tl2br w:val="nil"/>
              <w:tr2bl w:val="nil"/>
            </w:tcBorders>
            <w:noWrap w:val="0"/>
            <w:vAlign w:val="center"/>
          </w:tcPr>
          <w:p>
            <w:pPr>
              <w:pStyle w:val="42"/>
              <w:bidi w:val="0"/>
              <w:rPr>
                <w:rFonts w:hint="default" w:ascii="Times New Roman" w:hAnsi="Times New Roman" w:cs="Times New Roman"/>
                <w:color w:val="auto"/>
              </w:rPr>
            </w:pP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近3年突发大气环境事件发生情况</w:t>
            </w:r>
          </w:p>
        </w:tc>
        <w:tc>
          <w:tcPr>
            <w:tcW w:w="47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未发生突发大气环境事件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continue"/>
            <w:tcBorders>
              <w:tl2br w:val="nil"/>
              <w:tr2bl w:val="nil"/>
            </w:tcBorders>
            <w:noWrap w:val="0"/>
            <w:vAlign w:val="center"/>
          </w:tcPr>
          <w:p>
            <w:pPr>
              <w:pStyle w:val="42"/>
              <w:bidi w:val="0"/>
              <w:rPr>
                <w:rFonts w:hint="default" w:ascii="Times New Roman" w:hAnsi="Times New Roman" w:cs="Times New Roman"/>
                <w:color w:val="auto"/>
              </w:rPr>
            </w:pP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截</w:t>
            </w:r>
            <w:r>
              <w:rPr>
                <w:rFonts w:hint="default" w:ascii="Times New Roman" w:hAnsi="Times New Roman" w:cs="Times New Roman"/>
                <w:color w:val="auto"/>
                <w:lang w:val="en-US" w:eastAsia="zh-CN"/>
              </w:rPr>
              <w:t>流</w:t>
            </w:r>
            <w:r>
              <w:rPr>
                <w:rFonts w:hint="default" w:ascii="Times New Roman" w:hAnsi="Times New Roman" w:cs="Times New Roman"/>
                <w:color w:val="auto"/>
              </w:rPr>
              <w:t>措施</w:t>
            </w:r>
          </w:p>
        </w:tc>
        <w:tc>
          <w:tcPr>
            <w:tcW w:w="47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lang w:val="en-US" w:eastAsia="zh-CN"/>
              </w:rPr>
              <w:t>污水处理站</w:t>
            </w:r>
            <w:r>
              <w:rPr>
                <w:rFonts w:hint="default" w:ascii="Times New Roman" w:hAnsi="Times New Roman" w:cs="Times New Roman"/>
                <w:color w:val="auto"/>
              </w:rPr>
              <w:t>已设置</w:t>
            </w:r>
            <w:r>
              <w:rPr>
                <w:rFonts w:hint="default" w:ascii="Times New Roman" w:hAnsi="Times New Roman" w:cs="Times New Roman"/>
                <w:color w:val="auto"/>
                <w:lang w:val="en-US" w:eastAsia="zh-CN"/>
              </w:rPr>
              <w:t>截流措施</w:t>
            </w:r>
            <w:r>
              <w:rPr>
                <w:rFonts w:hint="default" w:ascii="Times New Roman" w:hAnsi="Times New Roman"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continue"/>
            <w:tcBorders>
              <w:tl2br w:val="nil"/>
              <w:tr2bl w:val="nil"/>
            </w:tcBorders>
            <w:noWrap w:val="0"/>
            <w:vAlign w:val="center"/>
          </w:tcPr>
          <w:p>
            <w:pPr>
              <w:pStyle w:val="42"/>
              <w:bidi w:val="0"/>
              <w:rPr>
                <w:rFonts w:hint="default" w:ascii="Times New Roman" w:hAnsi="Times New Roman" w:cs="Times New Roman"/>
                <w:color w:val="FF0000"/>
              </w:rPr>
            </w:pPr>
          </w:p>
        </w:tc>
        <w:tc>
          <w:tcPr>
            <w:tcW w:w="3437" w:type="dxa"/>
            <w:tcBorders>
              <w:tl2br w:val="nil"/>
              <w:tr2bl w:val="nil"/>
            </w:tcBorders>
            <w:noWrap w:val="0"/>
            <w:vAlign w:val="center"/>
          </w:tcPr>
          <w:p>
            <w:pPr>
              <w:pStyle w:val="42"/>
              <w:bidi w:val="0"/>
              <w:rPr>
                <w:rFonts w:hint="default" w:ascii="Times New Roman" w:hAnsi="Times New Roman" w:cs="Times New Roman"/>
                <w:color w:val="FF0000"/>
              </w:rPr>
            </w:pPr>
            <w:r>
              <w:rPr>
                <w:rFonts w:hint="default" w:ascii="Times New Roman" w:hAnsi="Times New Roman" w:cs="Times New Roman"/>
                <w:color w:val="auto"/>
              </w:rPr>
              <w:t>事故废水收集措施</w:t>
            </w:r>
          </w:p>
        </w:tc>
        <w:tc>
          <w:tcPr>
            <w:tcW w:w="4737" w:type="dxa"/>
            <w:tcBorders>
              <w:tl2br w:val="nil"/>
              <w:tr2bl w:val="nil"/>
            </w:tcBorders>
            <w:noWrap w:val="0"/>
            <w:vAlign w:val="center"/>
          </w:tcPr>
          <w:p>
            <w:pPr>
              <w:pStyle w:val="4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企业</w:t>
            </w:r>
            <w:r>
              <w:rPr>
                <w:rFonts w:hint="default" w:ascii="Times New Roman" w:hAnsi="Times New Roman" w:cs="Times New Roman"/>
                <w:color w:val="auto"/>
                <w:lang w:val="en-US" w:eastAsia="zh-CN"/>
              </w:rPr>
              <w:t>已</w:t>
            </w:r>
            <w:r>
              <w:rPr>
                <w:rFonts w:hint="default" w:ascii="Times New Roman" w:hAnsi="Times New Roman" w:cs="Times New Roman"/>
                <w:color w:val="auto"/>
              </w:rPr>
              <w:t>设置</w:t>
            </w:r>
            <w:r>
              <w:rPr>
                <w:rFonts w:hint="default" w:ascii="Times New Roman" w:hAnsi="Times New Roman" w:cs="Times New Roman"/>
                <w:color w:val="auto"/>
                <w:lang w:val="en-US" w:eastAsia="zh-CN"/>
              </w:rPr>
              <w:t>2600m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rPr>
              <w:t>事故水池</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发生泄漏事故时可将泄漏物料转移至专用容器内或事故水池储存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continue"/>
            <w:tcBorders>
              <w:tl2br w:val="nil"/>
              <w:tr2bl w:val="nil"/>
            </w:tcBorders>
            <w:noWrap w:val="0"/>
            <w:vAlign w:val="center"/>
          </w:tcPr>
          <w:p>
            <w:pPr>
              <w:pStyle w:val="42"/>
              <w:bidi w:val="0"/>
              <w:rPr>
                <w:rFonts w:hint="default" w:ascii="Times New Roman" w:hAnsi="Times New Roman" w:cs="Times New Roman"/>
                <w:color w:val="FF0000"/>
              </w:rPr>
            </w:pP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清净废水系统风险防控措施</w:t>
            </w:r>
          </w:p>
        </w:tc>
        <w:tc>
          <w:tcPr>
            <w:tcW w:w="47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企业不涉及清净废水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continue"/>
            <w:tcBorders>
              <w:tl2br w:val="nil"/>
              <w:tr2bl w:val="nil"/>
            </w:tcBorders>
            <w:noWrap w:val="0"/>
            <w:vAlign w:val="center"/>
          </w:tcPr>
          <w:p>
            <w:pPr>
              <w:pStyle w:val="42"/>
              <w:bidi w:val="0"/>
              <w:rPr>
                <w:rFonts w:hint="default" w:ascii="Times New Roman" w:hAnsi="Times New Roman" w:cs="Times New Roman"/>
                <w:color w:val="FF0000"/>
              </w:rPr>
            </w:pP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雨水排水系统风险防控措施</w:t>
            </w:r>
          </w:p>
        </w:tc>
        <w:tc>
          <w:tcPr>
            <w:tcW w:w="4737" w:type="dxa"/>
            <w:tcBorders>
              <w:tl2br w:val="nil"/>
              <w:tr2bl w:val="nil"/>
            </w:tcBorders>
            <w:noWrap w:val="0"/>
            <w:vAlign w:val="center"/>
          </w:tcPr>
          <w:p>
            <w:pPr>
              <w:pStyle w:val="42"/>
              <w:bidi w:val="0"/>
              <w:rPr>
                <w:rFonts w:hint="default" w:ascii="Times New Roman" w:hAnsi="Times New Roman" w:eastAsia="宋体" w:cs="Times New Roman"/>
                <w:color w:val="auto"/>
                <w:lang w:eastAsia="zh-CN"/>
              </w:rPr>
            </w:pPr>
            <w:r>
              <w:rPr>
                <w:rFonts w:hint="default" w:ascii="Times New Roman" w:hAnsi="Times New Roman" w:cs="Times New Roman"/>
                <w:color w:val="auto"/>
              </w:rPr>
              <w:t>雨污分流；</w:t>
            </w:r>
            <w:r>
              <w:rPr>
                <w:rFonts w:hint="default" w:ascii="Times New Roman" w:hAnsi="Times New Roman" w:cs="Times New Roman"/>
                <w:color w:val="auto"/>
                <w:lang w:eastAsia="zh-CN"/>
              </w:rPr>
              <w:t>初期雨水收集后经公司污水处理站处理后进入园区污水处理厂处理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continue"/>
            <w:tcBorders>
              <w:tl2br w:val="nil"/>
              <w:tr2bl w:val="nil"/>
            </w:tcBorders>
            <w:noWrap w:val="0"/>
            <w:vAlign w:val="center"/>
          </w:tcPr>
          <w:p>
            <w:pPr>
              <w:pStyle w:val="42"/>
              <w:bidi w:val="0"/>
              <w:rPr>
                <w:rFonts w:hint="default" w:ascii="Times New Roman" w:hAnsi="Times New Roman" w:cs="Times New Roman"/>
                <w:color w:val="FF0000"/>
              </w:rPr>
            </w:pP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生产废水处理系统风险防控措施以及废水排放去向</w:t>
            </w:r>
          </w:p>
        </w:tc>
        <w:tc>
          <w:tcPr>
            <w:tcW w:w="47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lang w:val="en-US" w:eastAsia="zh-CN"/>
              </w:rPr>
              <w:t>污水处理站</w:t>
            </w:r>
            <w:r>
              <w:rPr>
                <w:rFonts w:hint="default" w:ascii="Times New Roman" w:hAnsi="Times New Roman" w:cs="Times New Roman"/>
                <w:color w:val="auto"/>
              </w:rPr>
              <w:t>已设置防渗漏、防腐蚀、防流失措施。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continue"/>
            <w:tcBorders>
              <w:tl2br w:val="nil"/>
              <w:tr2bl w:val="nil"/>
            </w:tcBorders>
            <w:noWrap w:val="0"/>
            <w:vAlign w:val="center"/>
          </w:tcPr>
          <w:p>
            <w:pPr>
              <w:pStyle w:val="42"/>
              <w:bidi w:val="0"/>
              <w:rPr>
                <w:rFonts w:hint="default" w:ascii="Times New Roman" w:hAnsi="Times New Roman" w:cs="Times New Roman"/>
                <w:color w:val="FF0000"/>
              </w:rPr>
            </w:pP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厂内危险废物环境管理</w:t>
            </w:r>
          </w:p>
        </w:tc>
        <w:tc>
          <w:tcPr>
            <w:tcW w:w="4737" w:type="dxa"/>
            <w:tcBorders>
              <w:tl2br w:val="nil"/>
              <w:tr2bl w:val="nil"/>
            </w:tcBorders>
            <w:noWrap w:val="0"/>
            <w:vAlign w:val="center"/>
          </w:tcPr>
          <w:p>
            <w:pPr>
              <w:pStyle w:val="42"/>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危废暂存于</w:t>
            </w:r>
            <w:r>
              <w:rPr>
                <w:rFonts w:hint="default" w:ascii="Times New Roman" w:hAnsi="Times New Roman" w:cs="Times New Roman"/>
                <w:color w:val="auto"/>
                <w:lang w:eastAsia="zh-CN"/>
              </w:rPr>
              <w:t>危废暂存间中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86" w:type="dxa"/>
            <w:vMerge w:val="continue"/>
            <w:tcBorders>
              <w:tl2br w:val="nil"/>
              <w:tr2bl w:val="nil"/>
            </w:tcBorders>
            <w:noWrap w:val="0"/>
            <w:vAlign w:val="center"/>
          </w:tcPr>
          <w:p>
            <w:pPr>
              <w:pStyle w:val="42"/>
              <w:bidi w:val="0"/>
              <w:rPr>
                <w:rFonts w:hint="default" w:ascii="Times New Roman" w:hAnsi="Times New Roman" w:cs="Times New Roman"/>
                <w:color w:val="FF0000"/>
              </w:rPr>
            </w:pPr>
          </w:p>
        </w:tc>
        <w:tc>
          <w:tcPr>
            <w:tcW w:w="34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近3年突发水环境事件发生情况</w:t>
            </w:r>
          </w:p>
        </w:tc>
        <w:tc>
          <w:tcPr>
            <w:tcW w:w="4737" w:type="dxa"/>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未发生突发水环境事件</w:t>
            </w:r>
          </w:p>
        </w:tc>
      </w:tr>
    </w:tbl>
    <w:p>
      <w:pPr>
        <w:bidi w:val="0"/>
        <w:ind w:left="0" w:leftChars="0" w:right="0" w:rightChars="0" w:firstLine="0" w:firstLineChars="0"/>
        <w:jc w:val="both"/>
        <w:rPr>
          <w:rFonts w:hint="default" w:ascii="Times New Roman" w:hAnsi="Times New Roman" w:eastAsia="黑体" w:cs="Times New Roman"/>
          <w:bCs/>
          <w:kern w:val="2"/>
          <w:sz w:val="28"/>
          <w:szCs w:val="32"/>
          <w:lang w:val="en-US" w:eastAsia="zh-CN" w:bidi="ar-SA"/>
        </w:rPr>
      </w:pPr>
      <w:r>
        <w:rPr>
          <w:rFonts w:hint="eastAsia" w:ascii="Times New Roman" w:hAnsi="Times New Roman" w:eastAsia="黑体" w:cs="Times New Roman"/>
          <w:bCs/>
          <w:kern w:val="2"/>
          <w:sz w:val="28"/>
          <w:szCs w:val="32"/>
          <w:lang w:val="en-US" w:eastAsia="zh-CN" w:bidi="ar-SA"/>
        </w:rPr>
        <w:t>5.3 环境应急资源</w:t>
      </w:r>
    </w:p>
    <w:p>
      <w:pPr>
        <w:autoSpaceDE w:val="0"/>
        <w:autoSpaceDN w:val="0"/>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1、已经配备了</w:t>
      </w:r>
      <w:r>
        <w:rPr>
          <w:rFonts w:hint="eastAsia" w:ascii="宋体" w:hAnsi="宋体" w:eastAsia="宋体" w:cs="宋体"/>
          <w:color w:val="auto"/>
          <w:kern w:val="0"/>
          <w:sz w:val="24"/>
          <w:szCs w:val="24"/>
          <w:lang w:val="en-US" w:eastAsia="zh-CN"/>
        </w:rPr>
        <w:t>一定的</w:t>
      </w:r>
      <w:r>
        <w:rPr>
          <w:rFonts w:hint="eastAsia" w:ascii="宋体" w:hAnsi="宋体" w:eastAsia="宋体" w:cs="宋体"/>
          <w:color w:val="auto"/>
          <w:kern w:val="0"/>
          <w:sz w:val="24"/>
          <w:szCs w:val="24"/>
        </w:rPr>
        <w:t xml:space="preserve">应急物资和应急设备； </w:t>
      </w:r>
    </w:p>
    <w:p>
      <w:pPr>
        <w:autoSpaceDE w:val="0"/>
        <w:autoSpaceDN w:val="0"/>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2、公司已设置由</w:t>
      </w:r>
      <w:r>
        <w:rPr>
          <w:rFonts w:hint="eastAsia" w:ascii="宋体" w:hAnsi="宋体" w:eastAsia="宋体" w:cs="宋体"/>
          <w:color w:val="auto"/>
          <w:kern w:val="0"/>
          <w:sz w:val="24"/>
          <w:szCs w:val="24"/>
          <w:lang w:val="en-US" w:eastAsia="zh-CN"/>
        </w:rPr>
        <w:t>职工</w:t>
      </w:r>
      <w:r>
        <w:rPr>
          <w:rFonts w:hint="eastAsia" w:ascii="宋体" w:hAnsi="宋体" w:eastAsia="宋体" w:cs="宋体"/>
          <w:color w:val="auto"/>
          <w:kern w:val="0"/>
          <w:sz w:val="24"/>
          <w:szCs w:val="24"/>
        </w:rPr>
        <w:t>组成的应急救援队伍；</w:t>
      </w:r>
    </w:p>
    <w:p>
      <w:pPr>
        <w:autoSpaceDE w:val="0"/>
        <w:autoSpaceDN w:val="0"/>
        <w:ind w:firstLine="480" w:firstLineChars="200"/>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rPr>
        <w:t>3、</w:t>
      </w:r>
      <w:r>
        <w:rPr>
          <w:rFonts w:hint="eastAsia" w:ascii="宋体" w:hAnsi="宋体" w:eastAsia="宋体" w:cs="宋体"/>
          <w:color w:val="auto"/>
          <w:kern w:val="0"/>
          <w:sz w:val="24"/>
          <w:szCs w:val="24"/>
          <w:highlight w:val="none"/>
        </w:rPr>
        <w:t>公</w:t>
      </w:r>
      <w:r>
        <w:rPr>
          <w:rFonts w:hint="eastAsia" w:ascii="宋体" w:hAnsi="宋体" w:eastAsia="宋体" w:cs="宋体"/>
          <w:color w:val="auto"/>
          <w:kern w:val="0"/>
          <w:sz w:val="24"/>
          <w:szCs w:val="24"/>
          <w:highlight w:val="none"/>
          <w:lang w:eastAsia="zh-CN"/>
        </w:rPr>
        <w:t>司</w:t>
      </w:r>
      <w:r>
        <w:rPr>
          <w:rFonts w:hint="eastAsia" w:ascii="宋体" w:hAnsi="宋体" w:eastAsia="宋体" w:cs="宋体"/>
          <w:color w:val="auto"/>
          <w:kern w:val="0"/>
          <w:sz w:val="24"/>
          <w:szCs w:val="24"/>
          <w:highlight w:val="none"/>
          <w:lang w:val="en-US" w:eastAsia="zh-CN"/>
        </w:rPr>
        <w:t>拟与</w:t>
      </w:r>
      <w:r>
        <w:rPr>
          <w:rFonts w:hint="default" w:ascii="宋体" w:hAnsi="宋体" w:eastAsia="宋体" w:cs="宋体"/>
          <w:color w:val="auto"/>
          <w:kern w:val="0"/>
          <w:sz w:val="24"/>
          <w:szCs w:val="24"/>
          <w:highlight w:val="none"/>
          <w:lang w:val="en-US" w:eastAsia="zh-CN"/>
        </w:rPr>
        <w:t>枣庄市美辰化工有限公司</w:t>
      </w:r>
      <w:r>
        <w:rPr>
          <w:rFonts w:hint="eastAsia" w:ascii="宋体" w:hAnsi="宋体" w:eastAsia="宋体" w:cs="宋体"/>
          <w:color w:val="auto"/>
          <w:kern w:val="0"/>
          <w:sz w:val="24"/>
          <w:szCs w:val="24"/>
          <w:highlight w:val="none"/>
          <w:lang w:eastAsia="zh-CN"/>
        </w:rPr>
        <w:t>签订</w:t>
      </w:r>
      <w:r>
        <w:rPr>
          <w:rFonts w:hint="eastAsia" w:ascii="宋体" w:hAnsi="宋体" w:eastAsia="宋体" w:cs="宋体"/>
          <w:color w:val="auto"/>
          <w:kern w:val="0"/>
          <w:sz w:val="24"/>
          <w:szCs w:val="24"/>
          <w:highlight w:val="none"/>
          <w:lang w:val="en-US" w:eastAsia="zh-CN"/>
        </w:rPr>
        <w:t>互助协议</w:t>
      </w:r>
      <w:r>
        <w:rPr>
          <w:rFonts w:hint="eastAsia" w:ascii="宋体" w:hAnsi="宋体" w:eastAsia="宋体" w:cs="宋体"/>
          <w:color w:val="auto"/>
          <w:kern w:val="0"/>
          <w:sz w:val="24"/>
          <w:szCs w:val="24"/>
          <w:highlight w:val="none"/>
          <w:lang w:eastAsia="zh-CN"/>
        </w:rPr>
        <w:t>，一旦发生突发环境事件，通过信息传递需要实施外部救援时，</w:t>
      </w:r>
      <w:r>
        <w:rPr>
          <w:rFonts w:hint="default" w:ascii="宋体" w:hAnsi="宋体" w:eastAsia="宋体" w:cs="宋体"/>
          <w:color w:val="auto"/>
          <w:kern w:val="0"/>
          <w:sz w:val="24"/>
          <w:szCs w:val="24"/>
          <w:highlight w:val="none"/>
          <w:lang w:val="en-US" w:eastAsia="zh-CN"/>
        </w:rPr>
        <w:t>枣庄市美辰化工有限公司</w:t>
      </w:r>
      <w:r>
        <w:rPr>
          <w:rFonts w:hint="eastAsia" w:ascii="宋体" w:hAnsi="宋体" w:eastAsia="宋体" w:cs="宋体"/>
          <w:color w:val="auto"/>
          <w:kern w:val="0"/>
          <w:sz w:val="24"/>
          <w:szCs w:val="24"/>
          <w:highlight w:val="none"/>
          <w:lang w:val="en-US" w:eastAsia="zh-CN"/>
        </w:rPr>
        <w:t>可以</w:t>
      </w:r>
      <w:r>
        <w:rPr>
          <w:rFonts w:hint="eastAsia" w:ascii="宋体" w:hAnsi="宋体" w:eastAsia="宋体" w:cs="宋体"/>
          <w:color w:val="auto"/>
          <w:kern w:val="0"/>
          <w:sz w:val="24"/>
          <w:szCs w:val="24"/>
          <w:highlight w:val="none"/>
          <w:lang w:eastAsia="zh-CN"/>
        </w:rPr>
        <w:t>对本公司进行应急救援。</w:t>
      </w:r>
    </w:p>
    <w:p>
      <w:pPr>
        <w:autoSpaceDE w:val="0"/>
        <w:autoSpaceDN w:val="0"/>
        <w:ind w:firstLine="480" w:firstLineChars="200"/>
        <w:rPr>
          <w:rFonts w:hint="default" w:ascii="宋体" w:hAnsi="宋体" w:eastAsia="宋体" w:cs="宋体"/>
          <w:color w:val="auto"/>
          <w:kern w:val="0"/>
          <w:sz w:val="24"/>
          <w:szCs w:val="24"/>
          <w:highlight w:val="none"/>
          <w:lang w:eastAsia="zh-CN"/>
        </w:rPr>
      </w:pPr>
      <w:r>
        <w:rPr>
          <w:rFonts w:hint="default" w:ascii="宋体" w:hAnsi="宋体" w:eastAsia="宋体" w:cs="宋体"/>
          <w:color w:val="auto"/>
          <w:kern w:val="0"/>
          <w:sz w:val="24"/>
          <w:szCs w:val="24"/>
          <w:highlight w:val="none"/>
          <w:lang w:eastAsia="zh-CN"/>
        </w:rPr>
        <w:t>公司现有环境应急资源及差</w:t>
      </w:r>
      <w:r>
        <w:rPr>
          <w:rFonts w:hint="default" w:ascii="Times New Roman" w:hAnsi="Times New Roman" w:eastAsia="宋体" w:cs="Times New Roman"/>
          <w:color w:val="auto"/>
          <w:kern w:val="0"/>
          <w:sz w:val="24"/>
          <w:szCs w:val="24"/>
          <w:highlight w:val="none"/>
          <w:lang w:eastAsia="zh-CN"/>
        </w:rPr>
        <w:t>距分析见表5.3-1。</w:t>
      </w:r>
    </w:p>
    <w:p>
      <w:pPr>
        <w:pStyle w:val="36"/>
        <w:bidi w:val="0"/>
        <w:rPr>
          <w:rFonts w:hint="eastAsia" w:ascii="Times New Roman" w:hAnsi="Times New Roman" w:eastAsia="黑体" w:cs="Times New Roman"/>
          <w:color w:val="auto"/>
          <w:lang w:val="en-US" w:eastAsia="zh-CN"/>
        </w:rPr>
      </w:pPr>
      <w:r>
        <w:rPr>
          <w:rFonts w:hint="default" w:ascii="Times New Roman" w:hAnsi="Times New Roman" w:cs="Times New Roman"/>
          <w:color w:val="auto"/>
        </w:rPr>
        <w:t>表5.</w:t>
      </w:r>
      <w:r>
        <w:rPr>
          <w:rFonts w:hint="eastAsia" w:cs="Times New Roman"/>
          <w:color w:val="auto"/>
          <w:lang w:val="en-US" w:eastAsia="zh-CN"/>
        </w:rPr>
        <w:t>3</w:t>
      </w:r>
      <w:r>
        <w:rPr>
          <w:rFonts w:hint="default" w:ascii="Times New Roman" w:hAnsi="Times New Roman" w:cs="Times New Roman"/>
          <w:color w:val="auto"/>
        </w:rPr>
        <w:t>-1 公司现有</w:t>
      </w:r>
      <w:r>
        <w:rPr>
          <w:rFonts w:hint="eastAsia" w:cs="Times New Roman"/>
          <w:color w:val="auto"/>
          <w:lang w:val="en-US" w:eastAsia="zh-CN"/>
        </w:rPr>
        <w:t>环境应急资源及</w:t>
      </w:r>
      <w:r>
        <w:rPr>
          <w:rFonts w:hint="default" w:ascii="Times New Roman" w:hAnsi="Times New Roman" w:cs="Times New Roman"/>
          <w:color w:val="auto"/>
        </w:rPr>
        <w:t>差距分析</w:t>
      </w:r>
      <w:r>
        <w:rPr>
          <w:rFonts w:hint="eastAsia" w:cs="Times New Roman"/>
          <w:color w:val="auto"/>
          <w:lang w:val="en-US" w:eastAsia="zh-CN"/>
        </w:rPr>
        <w:t>一览表</w:t>
      </w:r>
    </w:p>
    <w:tbl>
      <w:tblPr>
        <w:tblStyle w:val="2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460"/>
        <w:gridCol w:w="4171"/>
        <w:gridCol w:w="14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898" w:type="pct"/>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相关要求</w:t>
            </w:r>
          </w:p>
        </w:tc>
        <w:tc>
          <w:tcPr>
            <w:tcW w:w="2288" w:type="pct"/>
            <w:tcBorders>
              <w:tl2br w:val="nil"/>
              <w:tr2bl w:val="nil"/>
            </w:tcBorders>
            <w:noWrap w:val="0"/>
            <w:vAlign w:val="center"/>
          </w:tcPr>
          <w:p>
            <w:pPr>
              <w:pStyle w:val="42"/>
              <w:bidi w:val="0"/>
              <w:rPr>
                <w:rFonts w:hint="default" w:ascii="Times New Roman" w:hAnsi="Times New Roman" w:eastAsia="宋体" w:cs="Times New Roman"/>
                <w:color w:val="auto"/>
                <w:lang w:val="en-US" w:eastAsia="zh-CN"/>
              </w:rPr>
            </w:pPr>
            <w:r>
              <w:rPr>
                <w:rFonts w:hint="eastAsia" w:cs="Times New Roman"/>
                <w:color w:val="auto"/>
                <w:lang w:val="en-US" w:eastAsia="zh-CN"/>
              </w:rPr>
              <w:t>企业情况</w:t>
            </w:r>
          </w:p>
        </w:tc>
        <w:tc>
          <w:tcPr>
            <w:tcW w:w="813" w:type="pct"/>
            <w:tcBorders>
              <w:tl2br w:val="nil"/>
              <w:tr2bl w:val="nil"/>
            </w:tcBorders>
            <w:noWrap w:val="0"/>
            <w:vAlign w:val="center"/>
          </w:tcPr>
          <w:p>
            <w:pPr>
              <w:pStyle w:val="42"/>
              <w:bidi w:val="0"/>
              <w:rPr>
                <w:rFonts w:hint="default" w:ascii="Times New Roman" w:hAnsi="Times New Roman" w:eastAsia="宋体" w:cs="Times New Roman"/>
                <w:color w:val="auto"/>
                <w:lang w:val="en-US" w:eastAsia="zh-CN"/>
              </w:rPr>
            </w:pPr>
            <w:r>
              <w:rPr>
                <w:rFonts w:hint="eastAsia" w:cs="Times New Roman"/>
                <w:color w:val="auto"/>
                <w:lang w:val="en-US" w:eastAsia="zh-CN"/>
              </w:rPr>
              <w:t>存在的差距</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898" w:type="pct"/>
            <w:tcBorders>
              <w:tl2br w:val="nil"/>
              <w:tr2bl w:val="nil"/>
            </w:tcBorders>
            <w:noWrap w:val="0"/>
            <w:vAlign w:val="center"/>
          </w:tcPr>
          <w:p>
            <w:pPr>
              <w:pStyle w:val="42"/>
              <w:bidi w:val="0"/>
              <w:rPr>
                <w:rFonts w:hint="default" w:ascii="Times New Roman" w:hAnsi="Times New Roman" w:cs="Times New Roman"/>
                <w:color w:val="auto"/>
                <w:lang w:eastAsia="zh-CN"/>
              </w:rPr>
            </w:pPr>
            <w:r>
              <w:rPr>
                <w:rFonts w:hint="default" w:ascii="Times New Roman" w:hAnsi="Times New Roman" w:cs="Times New Roman"/>
                <w:color w:val="auto"/>
              </w:rPr>
              <w:t>是否配备必要的应急物资和应急装备</w:t>
            </w:r>
            <w:r>
              <w:rPr>
                <w:rFonts w:hint="default" w:ascii="Times New Roman" w:hAnsi="Times New Roman" w:cs="Times New Roman"/>
                <w:color w:val="auto"/>
                <w:lang w:eastAsia="zh-CN"/>
              </w:rPr>
              <w:t>(</w:t>
            </w:r>
            <w:r>
              <w:rPr>
                <w:rFonts w:hint="default" w:ascii="Times New Roman" w:hAnsi="Times New Roman" w:cs="Times New Roman"/>
                <w:color w:val="auto"/>
              </w:rPr>
              <w:t>包括应急监测</w:t>
            </w:r>
            <w:r>
              <w:rPr>
                <w:rFonts w:hint="default" w:ascii="Times New Roman" w:hAnsi="Times New Roman" w:cs="Times New Roman"/>
                <w:color w:val="auto"/>
                <w:lang w:eastAsia="zh-CN"/>
              </w:rPr>
              <w:t>)</w:t>
            </w:r>
          </w:p>
        </w:tc>
        <w:tc>
          <w:tcPr>
            <w:tcW w:w="2288" w:type="pct"/>
            <w:tcBorders>
              <w:tl2br w:val="nil"/>
              <w:tr2bl w:val="nil"/>
            </w:tcBorders>
            <w:noWrap w:val="0"/>
            <w:vAlign w:val="center"/>
          </w:tcPr>
          <w:p>
            <w:pPr>
              <w:pStyle w:val="4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企业已配备</w:t>
            </w:r>
            <w:r>
              <w:rPr>
                <w:rFonts w:hint="default" w:ascii="Times New Roman" w:hAnsi="Times New Roman" w:cs="Times New Roman"/>
                <w:color w:val="auto"/>
                <w:lang w:val="en-US" w:eastAsia="zh-CN"/>
              </w:rPr>
              <w:t>部分</w:t>
            </w:r>
            <w:r>
              <w:rPr>
                <w:rFonts w:hint="default" w:ascii="Times New Roman" w:hAnsi="Times New Roman" w:cs="Times New Roman"/>
                <w:color w:val="auto"/>
              </w:rPr>
              <w:t>应急</w:t>
            </w:r>
            <w:r>
              <w:rPr>
                <w:rFonts w:hint="default" w:ascii="Times New Roman" w:hAnsi="Times New Roman" w:cs="Times New Roman"/>
                <w:color w:val="auto"/>
                <w:highlight w:val="none"/>
              </w:rPr>
              <w:t>物资和应急装备</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但仍需补充，未配备应急监测队伍。现已与</w:t>
            </w:r>
            <w:r>
              <w:rPr>
                <w:rFonts w:hint="eastAsia" w:cs="Times New Roman"/>
                <w:color w:val="auto"/>
                <w:highlight w:val="none"/>
                <w:lang w:val="en-US" w:eastAsia="zh-CN"/>
              </w:rPr>
              <w:t>三益（山东）测试科技有限公司</w:t>
            </w:r>
            <w:r>
              <w:rPr>
                <w:rFonts w:hint="default" w:ascii="Times New Roman" w:hAnsi="Times New Roman" w:cs="Times New Roman"/>
                <w:color w:val="auto"/>
                <w:highlight w:val="none"/>
                <w:lang w:val="en-US" w:eastAsia="zh-CN"/>
              </w:rPr>
              <w:t>签订应急检测协议，确保</w:t>
            </w:r>
            <w:r>
              <w:rPr>
                <w:rFonts w:hint="default" w:ascii="Times New Roman" w:hAnsi="Times New Roman" w:cs="Times New Roman"/>
                <w:color w:val="auto"/>
                <w:lang w:val="en-US" w:eastAsia="zh-CN"/>
              </w:rPr>
              <w:t>事故发生时的环境监测工作及时开展。</w:t>
            </w:r>
          </w:p>
        </w:tc>
        <w:tc>
          <w:tcPr>
            <w:tcW w:w="813" w:type="pct"/>
            <w:tcBorders>
              <w:tl2br w:val="nil"/>
              <w:tr2bl w:val="nil"/>
            </w:tcBorders>
            <w:noWrap w:val="0"/>
            <w:vAlign w:val="center"/>
          </w:tcPr>
          <w:p>
            <w:pPr>
              <w:pStyle w:val="42"/>
              <w:bidi w:val="0"/>
              <w:rPr>
                <w:rFonts w:hint="eastAsia" w:ascii="Times New Roman" w:hAnsi="Times New Roman" w:eastAsia="宋体" w:cs="Times New Roman"/>
                <w:color w:val="auto"/>
                <w:lang w:val="en-US" w:eastAsia="zh-CN"/>
              </w:rPr>
            </w:pPr>
            <w:r>
              <w:rPr>
                <w:rFonts w:hint="eastAsia" w:cs="Times New Roman"/>
                <w:color w:val="auto"/>
                <w:lang w:val="en-US" w:eastAsia="zh-CN"/>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898" w:type="pct"/>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rPr>
              <w:t>是否已设置专职或兼职人员组成的应急救援队伍</w:t>
            </w:r>
          </w:p>
        </w:tc>
        <w:tc>
          <w:tcPr>
            <w:tcW w:w="2288" w:type="pct"/>
            <w:tcBorders>
              <w:tl2br w:val="nil"/>
              <w:tr2bl w:val="nil"/>
            </w:tcBorders>
            <w:noWrap w:val="0"/>
            <w:vAlign w:val="center"/>
          </w:tcPr>
          <w:p>
            <w:pPr>
              <w:pStyle w:val="42"/>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企业已设置专职或兼职人员组成的应急救援队伍</w:t>
            </w:r>
            <w:r>
              <w:rPr>
                <w:rFonts w:hint="default" w:ascii="Times New Roman" w:hAnsi="Times New Roman" w:cs="Times New Roman"/>
                <w:color w:val="auto"/>
                <w:lang w:eastAsia="zh-CN"/>
              </w:rPr>
              <w:t>；</w:t>
            </w:r>
          </w:p>
        </w:tc>
        <w:tc>
          <w:tcPr>
            <w:tcW w:w="813" w:type="pct"/>
            <w:tcBorders>
              <w:tl2br w:val="nil"/>
              <w:tr2bl w:val="nil"/>
            </w:tcBorders>
            <w:noWrap w:val="0"/>
            <w:vAlign w:val="center"/>
          </w:tcPr>
          <w:p>
            <w:pPr>
              <w:pStyle w:val="42"/>
              <w:bidi w:val="0"/>
              <w:rPr>
                <w:rFonts w:hint="eastAsia" w:ascii="Times New Roman" w:hAnsi="Times New Roman" w:eastAsia="宋体" w:cs="Times New Roman"/>
                <w:color w:val="auto"/>
                <w:lang w:val="en-US" w:eastAsia="zh-CN"/>
              </w:rPr>
            </w:pPr>
            <w:r>
              <w:rPr>
                <w:rFonts w:hint="eastAsia" w:cs="Times New Roman"/>
                <w:color w:val="auto"/>
                <w:lang w:val="en-US" w:eastAsia="zh-CN"/>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898" w:type="pct"/>
            <w:tcBorders>
              <w:tl2br w:val="nil"/>
              <w:tr2bl w:val="nil"/>
            </w:tcBorders>
            <w:noWrap w:val="0"/>
            <w:vAlign w:val="center"/>
          </w:tcPr>
          <w:p>
            <w:pPr>
              <w:pStyle w:val="42"/>
              <w:bidi w:val="0"/>
              <w:rPr>
                <w:rFonts w:hint="default" w:ascii="Times New Roman" w:hAnsi="Times New Roman" w:cs="Times New Roman"/>
                <w:color w:val="auto"/>
                <w:lang w:eastAsia="zh-CN"/>
              </w:rPr>
            </w:pPr>
            <w:r>
              <w:rPr>
                <w:rFonts w:hint="default" w:ascii="Times New Roman" w:hAnsi="Times New Roman" w:cs="Times New Roman"/>
                <w:color w:val="auto"/>
              </w:rPr>
              <w:t>是否与其他组织或单位签订应急救援协议或互救协议</w:t>
            </w:r>
            <w:r>
              <w:rPr>
                <w:rFonts w:hint="default" w:ascii="Times New Roman" w:hAnsi="Times New Roman" w:cs="Times New Roman"/>
                <w:color w:val="auto"/>
                <w:lang w:eastAsia="zh-CN"/>
              </w:rPr>
              <w:t>(</w:t>
            </w:r>
            <w:r>
              <w:rPr>
                <w:rFonts w:hint="default" w:ascii="Times New Roman" w:hAnsi="Times New Roman" w:cs="Times New Roman"/>
                <w:color w:val="auto"/>
              </w:rPr>
              <w:t>包括应急物资、应急装备和救援队伍等情况</w:t>
            </w:r>
            <w:r>
              <w:rPr>
                <w:rFonts w:hint="default" w:ascii="Times New Roman" w:hAnsi="Times New Roman" w:cs="Times New Roman"/>
                <w:color w:val="auto"/>
                <w:lang w:eastAsia="zh-CN"/>
              </w:rPr>
              <w:t>)</w:t>
            </w:r>
          </w:p>
        </w:tc>
        <w:tc>
          <w:tcPr>
            <w:tcW w:w="2288" w:type="pct"/>
            <w:tcBorders>
              <w:tl2br w:val="nil"/>
              <w:tr2bl w:val="nil"/>
            </w:tcBorders>
            <w:noWrap w:val="0"/>
            <w:vAlign w:val="center"/>
          </w:tcPr>
          <w:p>
            <w:pPr>
              <w:pStyle w:val="42"/>
              <w:bidi w:val="0"/>
              <w:rPr>
                <w:rFonts w:hint="default" w:ascii="Times New Roman" w:hAnsi="Times New Roman" w:cs="Times New Roman"/>
                <w:color w:val="auto"/>
              </w:rPr>
            </w:pPr>
            <w:r>
              <w:rPr>
                <w:rFonts w:hint="default" w:ascii="Times New Roman" w:hAnsi="Times New Roman" w:cs="Times New Roman"/>
                <w:color w:val="auto"/>
                <w:lang w:val="en-US" w:eastAsia="zh-CN"/>
              </w:rPr>
              <w:t>与</w:t>
            </w:r>
            <w:r>
              <w:rPr>
                <w:rFonts w:hint="default" w:ascii="Times New Roman" w:hAnsi="Times New Roman" w:eastAsia="宋体" w:cs="Times New Roman"/>
                <w:sz w:val="21"/>
                <w:szCs w:val="21"/>
                <w:lang w:val="en-US" w:eastAsia="zh-CN"/>
              </w:rPr>
              <w:t>枣庄市美辰化工有限公司</w:t>
            </w:r>
            <w:r>
              <w:rPr>
                <w:rFonts w:hint="default" w:ascii="Times New Roman" w:hAnsi="Times New Roman" w:cs="Times New Roman"/>
                <w:color w:val="auto"/>
              </w:rPr>
              <w:t>签订应急互救协议</w:t>
            </w:r>
          </w:p>
        </w:tc>
        <w:tc>
          <w:tcPr>
            <w:tcW w:w="813" w:type="pct"/>
            <w:tcBorders>
              <w:tl2br w:val="nil"/>
              <w:tr2bl w:val="nil"/>
            </w:tcBorders>
            <w:noWrap w:val="0"/>
            <w:vAlign w:val="center"/>
          </w:tcPr>
          <w:p>
            <w:pPr>
              <w:pStyle w:val="42"/>
              <w:bidi w:val="0"/>
              <w:rPr>
                <w:rFonts w:hint="default" w:ascii="Times New Roman" w:hAnsi="Times New Roman" w:cs="Times New Roman"/>
                <w:color w:val="auto"/>
                <w:lang w:val="en-US" w:eastAsia="zh-CN"/>
              </w:rPr>
            </w:pPr>
            <w:r>
              <w:rPr>
                <w:rFonts w:hint="eastAsia" w:cs="Times New Roman"/>
                <w:color w:val="auto"/>
                <w:lang w:val="en-US" w:eastAsia="zh-CN"/>
              </w:rPr>
              <w:t>无</w:t>
            </w:r>
          </w:p>
        </w:tc>
      </w:tr>
    </w:tbl>
    <w:p>
      <w:pPr>
        <w:pStyle w:val="4"/>
        <w:spacing w:before="120" w:after="120" w:line="440" w:lineRule="exact"/>
        <w:rPr>
          <w:rFonts w:hint="default" w:ascii="Times New Roman" w:hAnsi="Times New Roman" w:eastAsia="宋体" w:cs="Times New Roman"/>
          <w:b/>
          <w:bCs/>
          <w:color w:val="000000"/>
          <w:sz w:val="28"/>
          <w:szCs w:val="28"/>
        </w:rPr>
      </w:pPr>
      <w:bookmarkStart w:id="127" w:name="_Toc4801"/>
      <w:bookmarkStart w:id="128" w:name="_Toc19460"/>
      <w:bookmarkStart w:id="129" w:name="_Toc21507"/>
      <w:bookmarkStart w:id="130" w:name="_Toc462133906"/>
      <w:bookmarkStart w:id="131" w:name="_Toc7611"/>
      <w:r>
        <w:rPr>
          <w:rFonts w:hint="default" w:ascii="Times New Roman" w:hAnsi="Times New Roman" w:eastAsia="宋体" w:cs="Times New Roman"/>
          <w:b/>
          <w:bCs/>
          <w:color w:val="000000"/>
          <w:sz w:val="28"/>
          <w:szCs w:val="28"/>
        </w:rPr>
        <w:t>5.4历史经验教训总结</w:t>
      </w:r>
      <w:bookmarkEnd w:id="127"/>
      <w:bookmarkEnd w:id="128"/>
      <w:bookmarkEnd w:id="129"/>
      <w:bookmarkEnd w:id="130"/>
      <w:bookmarkEnd w:id="131"/>
    </w:p>
    <w:p>
      <w:pPr>
        <w:widowControl/>
        <w:spacing w:after="0" w:line="360" w:lineRule="auto"/>
        <w:ind w:firstLine="480" w:firstLineChars="200"/>
        <w:jc w:val="both"/>
        <w:rPr>
          <w:rFonts w:ascii="Times New Roman" w:hAnsi="Times New Roman" w:cs="Times New Roman"/>
          <w:color w:val="000000"/>
          <w:sz w:val="24"/>
          <w:szCs w:val="24"/>
        </w:rPr>
      </w:pPr>
      <w:bookmarkStart w:id="132" w:name="_Toc3798"/>
      <w:r>
        <w:rPr>
          <w:rFonts w:ascii="Times New Roman" w:hAnsi="Times New Roman" w:cs="Times New Roman"/>
          <w:color w:val="000000"/>
          <w:sz w:val="24"/>
          <w:szCs w:val="24"/>
        </w:rPr>
        <w:t>根据历史经验总结教训，国内同类企业中，生产装置区环境事故发生的主要原因有：高危操作单元监控措施不到位；使用违规、落后设备从事生产；员工违规违章操作等。</w:t>
      </w:r>
    </w:p>
    <w:p>
      <w:pPr>
        <w:widowControl/>
        <w:spacing w:after="0" w:line="360" w:lineRule="auto"/>
        <w:ind w:firstLine="480" w:firstLineChars="200"/>
        <w:jc w:val="both"/>
        <w:rPr>
          <w:rFonts w:hint="eastAsia" w:ascii="Times New Roman" w:hAnsi="Times New Roman" w:cs="Times New Roman"/>
          <w:color w:val="000000"/>
          <w:sz w:val="24"/>
          <w:szCs w:val="24"/>
        </w:rPr>
      </w:pPr>
      <w:r>
        <w:rPr>
          <w:rFonts w:ascii="Times New Roman" w:hAnsi="Times New Roman" w:cs="Times New Roman"/>
          <w:color w:val="000000"/>
          <w:sz w:val="24"/>
          <w:szCs w:val="24"/>
        </w:rPr>
        <w:t>本企业吸取历史经验教训，针对上述酿成事故的原因，采取了如下相应对策：</w:t>
      </w:r>
    </w:p>
    <w:p>
      <w:pPr>
        <w:widowControl/>
        <w:spacing w:after="0" w:line="360" w:lineRule="auto"/>
        <w:ind w:firstLine="480" w:firstLineChars="200"/>
        <w:jc w:val="both"/>
        <w:rPr>
          <w:rFonts w:ascii="Times New Roman" w:hAnsi="Times New Roman" w:cs="Times New Roman"/>
          <w:color w:val="000000"/>
          <w:sz w:val="24"/>
          <w:szCs w:val="24"/>
        </w:rPr>
      </w:pPr>
      <w:r>
        <w:rPr>
          <w:rFonts w:ascii="Times New Roman" w:hAnsi="Times New Roman" w:cs="Times New Roman"/>
          <w:color w:val="000000"/>
          <w:sz w:val="24"/>
          <w:szCs w:val="24"/>
        </w:rPr>
        <w:t>(1) 对现有高危工段重点监控工艺参数，实施安全操作</w:t>
      </w:r>
      <w:r>
        <w:rPr>
          <w:rFonts w:hint="eastAsia" w:ascii="Times New Roman" w:hAnsi="Times New Roman" w:cs="Times New Roman"/>
          <w:color w:val="000000"/>
          <w:sz w:val="24"/>
          <w:szCs w:val="24"/>
        </w:rPr>
        <w:t>；</w:t>
      </w:r>
    </w:p>
    <w:p>
      <w:pPr>
        <w:widowControl/>
        <w:spacing w:after="0" w:line="360" w:lineRule="auto"/>
        <w:ind w:firstLine="480" w:firstLineChars="200"/>
        <w:jc w:val="both"/>
        <w:rPr>
          <w:rFonts w:hint="eastAsia" w:ascii="Times New Roman" w:hAnsi="Times New Roman" w:cs="Times New Roman"/>
          <w:color w:val="000000"/>
          <w:sz w:val="24"/>
          <w:szCs w:val="24"/>
        </w:rPr>
      </w:pPr>
      <w:r>
        <w:rPr>
          <w:rFonts w:ascii="Times New Roman" w:hAnsi="Times New Roman" w:cs="Times New Roman"/>
          <w:color w:val="000000"/>
          <w:sz w:val="24"/>
          <w:szCs w:val="24"/>
        </w:rPr>
        <w:t>(2) 公司均不使用国家工信部发布的《部分工业行业淘汰落后生产工艺装备和产品指导目录（2010年本）》范围内的生产装置。定期开展生产检修，采用探测仪探伤，发现问题及时修补，有必要时进行更换，保证设备满足负荷要求、安全生产</w:t>
      </w:r>
      <w:r>
        <w:rPr>
          <w:rFonts w:hint="eastAsia" w:ascii="Times New Roman" w:hAnsi="Times New Roman" w:cs="Times New Roman"/>
          <w:color w:val="000000"/>
          <w:sz w:val="24"/>
          <w:szCs w:val="24"/>
        </w:rPr>
        <w:t>；</w:t>
      </w:r>
    </w:p>
    <w:p>
      <w:pPr>
        <w:widowControl/>
        <w:spacing w:after="0" w:line="360" w:lineRule="auto"/>
        <w:ind w:firstLine="480" w:firstLineChars="200"/>
        <w:jc w:val="both"/>
        <w:rPr>
          <w:rFonts w:hint="eastAsia" w:ascii="Times New Roman" w:hAnsi="Times New Roman" w:cs="Times New Roman"/>
          <w:color w:val="000000"/>
          <w:sz w:val="24"/>
          <w:szCs w:val="24"/>
        </w:rPr>
      </w:pPr>
      <w:r>
        <w:rPr>
          <w:rFonts w:ascii="Times New Roman" w:hAnsi="Times New Roman" w:cs="Times New Roman"/>
          <w:color w:val="000000"/>
          <w:sz w:val="24"/>
          <w:szCs w:val="24"/>
        </w:rPr>
        <w:t>(3) 加强管理，定期开展员工培训，提高员工素质、增强操作技能；内部、外部培训后进行考试。对员工考核结果应记录备案，考试通过即为合格。考试合格者才能使用，不合格者应继续补习，直到合格为止，做到上岗持证；为加强公司员工按章规范操作的主动性、自觉性，制定并落实内部奖惩措施。</w:t>
      </w:r>
    </w:p>
    <w:p>
      <w:pPr>
        <w:pStyle w:val="4"/>
        <w:bidi w:val="0"/>
        <w:rPr>
          <w:rFonts w:hint="default"/>
        </w:rPr>
      </w:pPr>
      <w:bookmarkStart w:id="133" w:name="_Toc31187"/>
      <w:bookmarkStart w:id="134" w:name="_Toc13041"/>
      <w:r>
        <w:rPr>
          <w:rFonts w:hint="default"/>
          <w:lang w:val="en-US" w:eastAsia="zh-CN"/>
        </w:rPr>
        <w:t>5.</w:t>
      </w:r>
      <w:r>
        <w:rPr>
          <w:rFonts w:hint="eastAsia"/>
          <w:lang w:val="en-US" w:eastAsia="zh-CN"/>
        </w:rPr>
        <w:t>5</w:t>
      </w:r>
      <w:r>
        <w:rPr>
          <w:rFonts w:hint="default"/>
        </w:rPr>
        <w:t>需要整改的短期、中期和长期项目内容</w:t>
      </w:r>
      <w:bookmarkEnd w:id="132"/>
      <w:bookmarkEnd w:id="133"/>
      <w:bookmarkEnd w:id="134"/>
    </w:p>
    <w:p>
      <w:pPr>
        <w:bidi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根据评估结果，在系统分析</w:t>
      </w:r>
      <w:r>
        <w:rPr>
          <w:rFonts w:hint="default" w:ascii="Times New Roman" w:hAnsi="Times New Roman" w:eastAsia="宋体" w:cs="Times New Roman"/>
          <w:sz w:val="24"/>
          <w:szCs w:val="24"/>
          <w:lang w:eastAsia="zh-CN"/>
        </w:rPr>
        <w:t>本公司</w:t>
      </w:r>
      <w:r>
        <w:rPr>
          <w:rFonts w:hint="default" w:ascii="Times New Roman" w:hAnsi="Times New Roman" w:eastAsia="宋体" w:cs="Times New Roman"/>
          <w:sz w:val="24"/>
          <w:szCs w:val="24"/>
        </w:rPr>
        <w:t>环境风险防控现状的基础上，针对企业环境风险防控与应急措施的差距和存在问题，重点从加强源头控制、增强环境应急综合能力、健全企业环境风险管理体系等方面制订环境风险防控与应急措施差距与问题整改计划。企业应在规定时限内完成各计划，切实提高企业的环境风险防控能力。企业每完成一次实施计划，都应将计划完成情况登记建档备查。</w:t>
      </w:r>
    </w:p>
    <w:p>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针对排查的每一项差距和隐患，根据其危害性、紧迫性和治理时间的长短，提出需要完成整改的期限，分别按短期（3个月以内）、中期（3-6个月）和长期（6个月以上）给出</w:t>
      </w:r>
      <w:r>
        <w:rPr>
          <w:rFonts w:hint="default" w:ascii="Times New Roman" w:hAnsi="Times New Roman" w:cs="Times New Roman"/>
          <w:sz w:val="24"/>
          <w:szCs w:val="24"/>
          <w:lang w:eastAsia="zh-CN"/>
        </w:rPr>
        <w:t>。</w:t>
      </w:r>
    </w:p>
    <w:p>
      <w:pPr>
        <w:bidi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长期（6个月以上）：</w:t>
      </w:r>
    </w:p>
    <w:p>
      <w:pPr>
        <w:bidi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1、定期开展</w:t>
      </w:r>
      <w:r>
        <w:rPr>
          <w:rFonts w:hint="default" w:ascii="Times New Roman" w:hAnsi="Times New Roman" w:eastAsia="宋体" w:cs="Times New Roman"/>
          <w:sz w:val="24"/>
          <w:szCs w:val="24"/>
          <w:lang w:eastAsia="zh-CN"/>
        </w:rPr>
        <w:t>环境事件应急事故</w:t>
      </w:r>
      <w:r>
        <w:rPr>
          <w:rFonts w:hint="default" w:ascii="Times New Roman" w:hAnsi="Times New Roman" w:eastAsia="宋体" w:cs="Times New Roman"/>
          <w:sz w:val="24"/>
          <w:szCs w:val="24"/>
        </w:rPr>
        <w:t>动员大会和定期组织员工进行专题培训，形式有内部专家培训讲座及外部培训班等。</w:t>
      </w:r>
    </w:p>
    <w:p>
      <w:pPr>
        <w:bidi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2、按照环评要求，严格落实项目环境监测计划，及时发现和排除环境事故隐患。</w:t>
      </w:r>
    </w:p>
    <w:p>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3、加强企业内部的应急预案演练的强度，认真做好总结。</w:t>
      </w:r>
    </w:p>
    <w:p>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4、加强企业员工的培训，根据公司实际情况，采取多种形式进行，如定期开设培训班、上课、事故讲座、发放宣传资料以及黑板报、公告栏、墙报等方式，使教育培训形象生动。</w:t>
      </w:r>
    </w:p>
    <w:p>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5、加强与周围企业的交流与沟通，签订互助协议，加强合作，积极共同应对环境事件。</w:t>
      </w:r>
    </w:p>
    <w:p>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6、企业所有应急救援指挥部成员和各专业救援队成员都应认真学习本预案内容，明确各自在救援现场所担负的责任，并告知周边群众当发生突发环境事故时的避险方法。</w:t>
      </w:r>
    </w:p>
    <w:p>
      <w:pPr>
        <w:bidi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中期（3-6个月）：</w:t>
      </w:r>
    </w:p>
    <w:p>
      <w:pPr>
        <w:bidi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lang w:val="zh-CN" w:eastAsia="zh-CN"/>
        </w:rPr>
        <w:t>建立完善的环境风险管理的制度</w:t>
      </w:r>
      <w:r>
        <w:rPr>
          <w:rFonts w:hint="eastAsia" w:cs="Times New Roman"/>
          <w:sz w:val="24"/>
          <w:szCs w:val="24"/>
          <w:lang w:val="zh-CN" w:eastAsia="zh-CN"/>
        </w:rPr>
        <w:t>、</w:t>
      </w:r>
      <w:r>
        <w:rPr>
          <w:rFonts w:hint="eastAsia" w:cs="Times New Roman"/>
          <w:sz w:val="24"/>
          <w:szCs w:val="24"/>
          <w:lang w:val="en-US" w:eastAsia="zh-CN"/>
        </w:rPr>
        <w:t>建立信息上报制度</w:t>
      </w:r>
      <w:r>
        <w:rPr>
          <w:rFonts w:hint="default" w:ascii="Times New Roman" w:hAnsi="Times New Roman" w:cs="Times New Roman"/>
          <w:sz w:val="24"/>
          <w:szCs w:val="24"/>
          <w:lang w:val="zh-CN" w:eastAsia="zh-CN"/>
        </w:rPr>
        <w:t>。</w:t>
      </w:r>
    </w:p>
    <w:p>
      <w:pPr>
        <w:bidi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lang w:eastAsia="zh-CN"/>
        </w:rPr>
        <w:t>规范物料仓储物料堆放</w:t>
      </w:r>
      <w:r>
        <w:rPr>
          <w:rFonts w:hint="default" w:ascii="Times New Roman" w:hAnsi="Times New Roman" w:eastAsia="宋体" w:cs="Times New Roman"/>
          <w:sz w:val="24"/>
          <w:szCs w:val="24"/>
        </w:rPr>
        <w:t>。</w:t>
      </w:r>
    </w:p>
    <w:p>
      <w:pPr>
        <w:bidi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3、在风险源、</w:t>
      </w:r>
      <w:r>
        <w:rPr>
          <w:rFonts w:hint="eastAsia" w:cs="Times New Roman"/>
          <w:sz w:val="24"/>
          <w:szCs w:val="24"/>
          <w:lang w:val="en-US" w:eastAsia="zh-CN"/>
        </w:rPr>
        <w:t>应急</w:t>
      </w:r>
      <w:r>
        <w:rPr>
          <w:rFonts w:hint="default" w:ascii="Times New Roman" w:hAnsi="Times New Roman" w:eastAsia="宋体" w:cs="Times New Roman"/>
          <w:sz w:val="24"/>
          <w:szCs w:val="24"/>
        </w:rPr>
        <w:t>物资储存</w:t>
      </w:r>
      <w:r>
        <w:rPr>
          <w:rFonts w:hint="eastAsia" w:cs="Times New Roman"/>
          <w:sz w:val="24"/>
          <w:szCs w:val="24"/>
          <w:lang w:eastAsia="zh-CN"/>
        </w:rPr>
        <w:t>、</w:t>
      </w:r>
      <w:r>
        <w:rPr>
          <w:rFonts w:hint="eastAsia" w:cs="Times New Roman"/>
          <w:sz w:val="24"/>
          <w:szCs w:val="24"/>
          <w:lang w:val="en-US" w:eastAsia="zh-CN"/>
        </w:rPr>
        <w:t>事故应急池</w:t>
      </w:r>
      <w:r>
        <w:rPr>
          <w:rFonts w:hint="default" w:ascii="Times New Roman" w:hAnsi="Times New Roman" w:eastAsia="宋体" w:cs="Times New Roman"/>
          <w:sz w:val="24"/>
          <w:szCs w:val="24"/>
        </w:rPr>
        <w:t>等处设置指示牌。</w:t>
      </w:r>
    </w:p>
    <w:p>
      <w:pPr>
        <w:bidi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短期（3个月以内）：</w:t>
      </w:r>
    </w:p>
    <w:p>
      <w:pPr>
        <w:pStyle w:val="20"/>
        <w:keepNext w:val="0"/>
        <w:keepLines w:val="0"/>
        <w:pageBreakBefore w:val="0"/>
        <w:widowControl w:val="0"/>
        <w:numPr>
          <w:ilvl w:val="0"/>
          <w:numId w:val="13"/>
        </w:numPr>
        <w:kinsoku/>
        <w:wordWrap/>
        <w:overflowPunct/>
        <w:topLinePunct w:val="0"/>
        <w:autoSpaceDE/>
        <w:autoSpaceDN/>
        <w:bidi w:val="0"/>
        <w:adjustRightInd/>
        <w:snapToGrid/>
        <w:spacing w:line="360" w:lineRule="auto"/>
        <w:ind w:left="257" w:leftChars="0" w:right="0" w:firstLineChars="0"/>
        <w:textAlignment w:val="auto"/>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完善事故应急水池的建设；</w:t>
      </w:r>
    </w:p>
    <w:p>
      <w:pPr>
        <w:pStyle w:val="20"/>
        <w:keepNext w:val="0"/>
        <w:keepLines w:val="0"/>
        <w:pageBreakBefore w:val="0"/>
        <w:widowControl w:val="0"/>
        <w:numPr>
          <w:ilvl w:val="0"/>
          <w:numId w:val="13"/>
        </w:numPr>
        <w:kinsoku/>
        <w:wordWrap/>
        <w:overflowPunct/>
        <w:topLinePunct w:val="0"/>
        <w:autoSpaceDE/>
        <w:autoSpaceDN/>
        <w:bidi w:val="0"/>
        <w:adjustRightInd/>
        <w:snapToGrid/>
        <w:spacing w:line="360" w:lineRule="auto"/>
        <w:ind w:left="257" w:leftChars="0" w:right="0" w:firstLineChars="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明确环境风险防控重点岗位的责任机构，落实到人，开展定期巡检和维护工作。</w:t>
      </w:r>
    </w:p>
    <w:p>
      <w:pPr>
        <w:pStyle w:val="4"/>
        <w:bidi w:val="0"/>
        <w:rPr>
          <w:rFonts w:hint="default"/>
        </w:rPr>
      </w:pPr>
      <w:bookmarkStart w:id="135" w:name="_Toc1707"/>
      <w:bookmarkStart w:id="136" w:name="_Toc4267"/>
      <w:bookmarkStart w:id="137" w:name="_Toc27994"/>
      <w:bookmarkStart w:id="138" w:name="_Toc23784"/>
      <w:bookmarkStart w:id="139" w:name="_Toc12716"/>
      <w:r>
        <w:rPr>
          <w:rFonts w:hint="eastAsia"/>
          <w:lang w:val="en-US" w:eastAsia="zh-CN"/>
        </w:rPr>
        <w:t>5.6</w:t>
      </w:r>
      <w:r>
        <w:rPr>
          <w:rFonts w:hint="default"/>
        </w:rPr>
        <w:t>完善环境风险防控和应急措施的实施计划</w:t>
      </w:r>
      <w:bookmarkEnd w:id="135"/>
      <w:bookmarkEnd w:id="136"/>
      <w:bookmarkEnd w:id="137"/>
      <w:bookmarkEnd w:id="138"/>
      <w:bookmarkEnd w:id="139"/>
    </w:p>
    <w:p>
      <w:pPr>
        <w:spacing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公司应认真、积极落实各项措施，尽快完成工整改作。每完成一次实施计划，都应将计划完成情况登记建档备查。</w:t>
      </w:r>
    </w:p>
    <w:p>
      <w:pPr>
        <w:spacing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对于因外部因素致使企业不能排除或完善的情况，应及时向所在地县级以上人民政府及其有关部门报告，并配合采取措施消除隐患。</w:t>
      </w:r>
    </w:p>
    <w:p>
      <w:pPr>
        <w:spacing w:line="360" w:lineRule="auto"/>
        <w:ind w:firstLine="480" w:firstLineChars="200"/>
        <w:rPr>
          <w:rFonts w:hint="default" w:ascii="Times New Roman" w:hAnsi="Times New Roman" w:cs="Times New Roman"/>
          <w:snapToGrid w:val="0"/>
          <w:color w:val="000000"/>
          <w:sz w:val="24"/>
          <w:szCs w:val="24"/>
        </w:rPr>
      </w:pPr>
      <w:r>
        <w:rPr>
          <w:rFonts w:hint="default" w:ascii="Times New Roman" w:hAnsi="Times New Roman" w:cs="Times New Roman"/>
          <w:color w:val="000000"/>
          <w:sz w:val="24"/>
          <w:szCs w:val="24"/>
        </w:rPr>
        <w:t>针对企业需</w:t>
      </w:r>
      <w:r>
        <w:rPr>
          <w:rFonts w:hint="default" w:ascii="Times New Roman" w:hAnsi="Times New Roman" w:cs="Times New Roman"/>
          <w:snapToGrid w:val="0"/>
          <w:color w:val="000000"/>
          <w:sz w:val="24"/>
          <w:szCs w:val="24"/>
        </w:rPr>
        <w:t>整改的短期项目，分别制定完善环境风险防控和应急措施的实施计划见表</w:t>
      </w:r>
      <w:r>
        <w:rPr>
          <w:rFonts w:hint="eastAsia" w:cs="Times New Roman"/>
          <w:snapToGrid w:val="0"/>
          <w:color w:val="000000"/>
          <w:sz w:val="24"/>
          <w:szCs w:val="24"/>
          <w:lang w:val="en-US" w:eastAsia="zh-CN"/>
        </w:rPr>
        <w:t>5</w:t>
      </w:r>
      <w:r>
        <w:rPr>
          <w:rFonts w:hint="default" w:ascii="Times New Roman" w:hAnsi="Times New Roman" w:cs="Times New Roman"/>
          <w:snapToGrid w:val="0"/>
          <w:color w:val="000000"/>
          <w:sz w:val="24"/>
          <w:szCs w:val="24"/>
        </w:rPr>
        <w:t>.</w:t>
      </w:r>
      <w:r>
        <w:rPr>
          <w:rFonts w:hint="eastAsia" w:cs="Times New Roman"/>
          <w:snapToGrid w:val="0"/>
          <w:color w:val="000000"/>
          <w:sz w:val="24"/>
          <w:szCs w:val="24"/>
          <w:lang w:val="en-US" w:eastAsia="zh-CN"/>
        </w:rPr>
        <w:t>6</w:t>
      </w:r>
      <w:r>
        <w:rPr>
          <w:rFonts w:hint="default" w:ascii="Times New Roman" w:hAnsi="Times New Roman" w:cs="Times New Roman"/>
          <w:snapToGrid w:val="0"/>
          <w:color w:val="000000"/>
          <w:sz w:val="24"/>
          <w:szCs w:val="24"/>
        </w:rPr>
        <w:t>-1。</w:t>
      </w:r>
    </w:p>
    <w:p>
      <w:pPr>
        <w:pStyle w:val="2"/>
        <w:rPr>
          <w:rFonts w:hint="default"/>
        </w:rPr>
      </w:pPr>
    </w:p>
    <w:p>
      <w:pPr>
        <w:bidi w:val="0"/>
        <w:ind w:left="0" w:leftChars="0" w:right="0" w:rightChars="0" w:firstLine="0" w:firstLineChars="0"/>
        <w:jc w:val="center"/>
        <w:rPr>
          <w:rFonts w:hint="default" w:ascii="Times New Roman" w:hAnsi="Times New Roman" w:eastAsia="黑体" w:cs="Times New Roman"/>
          <w:color w:val="auto"/>
        </w:rPr>
      </w:pPr>
      <w:r>
        <w:rPr>
          <w:rFonts w:hint="default" w:ascii="Times New Roman" w:hAnsi="Times New Roman" w:eastAsia="黑体" w:cs="Times New Roman"/>
          <w:color w:val="auto"/>
        </w:rPr>
        <w:t>表5.</w:t>
      </w:r>
      <w:r>
        <w:rPr>
          <w:rFonts w:hint="eastAsia" w:eastAsia="黑体" w:cs="Times New Roman"/>
          <w:color w:val="auto"/>
          <w:lang w:val="en-US" w:eastAsia="zh-CN"/>
        </w:rPr>
        <w:t>6</w:t>
      </w:r>
      <w:r>
        <w:rPr>
          <w:rFonts w:hint="default" w:ascii="Times New Roman" w:hAnsi="Times New Roman" w:eastAsia="黑体" w:cs="Times New Roman"/>
          <w:color w:val="auto"/>
        </w:rPr>
        <w:t>-</w:t>
      </w:r>
      <w:r>
        <w:rPr>
          <w:rFonts w:hint="eastAsia" w:ascii="Times New Roman" w:hAnsi="Times New Roman" w:eastAsia="黑体" w:cs="Times New Roman"/>
          <w:color w:val="auto"/>
          <w:lang w:val="en-US" w:eastAsia="zh-CN"/>
        </w:rPr>
        <w:t>1</w:t>
      </w:r>
      <w:r>
        <w:rPr>
          <w:rFonts w:hint="default" w:ascii="Times New Roman" w:hAnsi="Times New Roman" w:eastAsia="黑体" w:cs="Times New Roman"/>
          <w:color w:val="auto"/>
          <w:lang w:eastAsia="zh-CN"/>
        </w:rPr>
        <w:t xml:space="preserve"> </w:t>
      </w:r>
      <w:r>
        <w:rPr>
          <w:rFonts w:hint="default" w:ascii="Times New Roman" w:hAnsi="Times New Roman" w:eastAsia="黑体" w:cs="Times New Roman"/>
          <w:color w:val="auto"/>
        </w:rPr>
        <w:t>企业需整改的内容及进度</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9"/>
        <w:gridCol w:w="5732"/>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10" w:type="pct"/>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类别</w:t>
            </w:r>
          </w:p>
        </w:tc>
        <w:tc>
          <w:tcPr>
            <w:tcW w:w="3160" w:type="pct"/>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需要整改的项目内容</w:t>
            </w:r>
          </w:p>
        </w:tc>
        <w:tc>
          <w:tcPr>
            <w:tcW w:w="1029" w:type="pct"/>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10" w:type="pct"/>
            <w:vMerge w:val="restart"/>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环境风险管理制度</w:t>
            </w:r>
          </w:p>
        </w:tc>
        <w:tc>
          <w:tcPr>
            <w:tcW w:w="3160" w:type="pct"/>
            <w:shd w:val="clear" w:color="auto" w:fill="auto"/>
            <w:noWrap w:val="0"/>
            <w:tcMar>
              <w:top w:w="57" w:type="dxa"/>
              <w:left w:w="85" w:type="dxa"/>
              <w:bottom w:w="57" w:type="dxa"/>
              <w:right w:w="85" w:type="dxa"/>
            </w:tcMar>
            <w:vAlign w:val="center"/>
          </w:tcPr>
          <w:p>
            <w:pPr>
              <w:pStyle w:val="6"/>
              <w:bidi w:val="0"/>
              <w:rPr>
                <w:rFonts w:hint="default" w:ascii="Times New Roman" w:hAnsi="Times New Roman" w:cs="Times New Roman"/>
                <w:color w:val="auto"/>
                <w:lang w:eastAsia="zh-CN"/>
              </w:rPr>
            </w:pPr>
            <w:r>
              <w:rPr>
                <w:rFonts w:hint="default" w:ascii="Times New Roman" w:hAnsi="Times New Roman" w:cs="Times New Roman"/>
                <w:color w:val="auto"/>
              </w:rPr>
              <w:t>明确环境风险防控重点岗位的责任人和责任机构</w:t>
            </w:r>
            <w:r>
              <w:rPr>
                <w:rFonts w:hint="default" w:ascii="Times New Roman" w:hAnsi="Times New Roman" w:cs="Times New Roman"/>
                <w:color w:val="auto"/>
                <w:lang w:eastAsia="zh-CN"/>
              </w:rPr>
              <w:t>。</w:t>
            </w:r>
          </w:p>
        </w:tc>
        <w:tc>
          <w:tcPr>
            <w:tcW w:w="1029" w:type="pct"/>
            <w:noWrap w:val="0"/>
            <w:tcMar>
              <w:top w:w="57" w:type="dxa"/>
              <w:left w:w="85" w:type="dxa"/>
              <w:bottom w:w="57" w:type="dxa"/>
              <w:right w:w="85" w:type="dxa"/>
            </w:tcMar>
            <w:vAlign w:val="center"/>
          </w:tcPr>
          <w:p>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半个月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10" w:type="pct"/>
            <w:vMerge w:val="continue"/>
            <w:noWrap w:val="0"/>
            <w:tcMar>
              <w:top w:w="57" w:type="dxa"/>
              <w:left w:w="85" w:type="dxa"/>
              <w:bottom w:w="57" w:type="dxa"/>
              <w:right w:w="85" w:type="dxa"/>
            </w:tcMar>
            <w:vAlign w:val="center"/>
          </w:tcPr>
          <w:p>
            <w:pPr>
              <w:pStyle w:val="6"/>
              <w:bidi w:val="0"/>
              <w:outlineLvl w:val="9"/>
              <w:rPr>
                <w:rFonts w:hint="default" w:ascii="Times New Roman" w:hAnsi="Times New Roman" w:cs="Times New Roman"/>
                <w:color w:val="auto"/>
              </w:rPr>
            </w:pPr>
          </w:p>
        </w:tc>
        <w:tc>
          <w:tcPr>
            <w:tcW w:w="3160" w:type="pct"/>
            <w:shd w:val="clear" w:color="auto" w:fill="auto"/>
            <w:noWrap w:val="0"/>
            <w:tcMar>
              <w:top w:w="57" w:type="dxa"/>
              <w:left w:w="85" w:type="dxa"/>
              <w:bottom w:w="57" w:type="dxa"/>
              <w:right w:w="85" w:type="dxa"/>
            </w:tcMar>
            <w:vAlign w:val="center"/>
          </w:tcPr>
          <w:p>
            <w:pPr>
              <w:pStyle w:val="6"/>
              <w:bidi w:val="0"/>
              <w:rPr>
                <w:rFonts w:hint="default" w:ascii="Times New Roman" w:hAnsi="Times New Roman" w:cs="Times New Roman"/>
                <w:color w:val="auto"/>
                <w:lang w:eastAsia="zh-CN"/>
              </w:rPr>
            </w:pPr>
            <w:r>
              <w:rPr>
                <w:rFonts w:hint="default" w:ascii="Times New Roman" w:hAnsi="Times New Roman" w:cs="Times New Roman"/>
                <w:color w:val="auto"/>
              </w:rPr>
              <w:t>在班组和部门内部</w:t>
            </w:r>
            <w:r>
              <w:rPr>
                <w:rFonts w:hint="default" w:ascii="Times New Roman" w:hAnsi="Times New Roman" w:cs="Times New Roman"/>
                <w:color w:val="auto"/>
                <w:lang w:val="en-US" w:eastAsia="zh-CN"/>
              </w:rPr>
              <w:t>定期</w:t>
            </w:r>
            <w:r>
              <w:rPr>
                <w:rFonts w:hint="default" w:ascii="Times New Roman" w:hAnsi="Times New Roman" w:cs="Times New Roman"/>
                <w:color w:val="auto"/>
              </w:rPr>
              <w:t>开展环境风险和环境应急管理的宣传和培训，并将培训常态化</w:t>
            </w:r>
            <w:r>
              <w:rPr>
                <w:rFonts w:hint="default" w:ascii="Times New Roman" w:hAnsi="Times New Roman" w:cs="Times New Roman"/>
                <w:color w:val="auto"/>
                <w:lang w:eastAsia="zh-CN"/>
              </w:rPr>
              <w:t>。</w:t>
            </w:r>
          </w:p>
        </w:tc>
        <w:tc>
          <w:tcPr>
            <w:tcW w:w="1029" w:type="pct"/>
            <w:noWrap w:val="0"/>
            <w:tcMar>
              <w:top w:w="57" w:type="dxa"/>
              <w:left w:w="85" w:type="dxa"/>
              <w:bottom w:w="57" w:type="dxa"/>
              <w:right w:w="85" w:type="dxa"/>
            </w:tcMar>
            <w:vAlign w:val="center"/>
          </w:tcPr>
          <w:p>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 w:hRule="atLeast"/>
          <w:jc w:val="center"/>
        </w:trPr>
        <w:tc>
          <w:tcPr>
            <w:tcW w:w="810" w:type="pct"/>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rPr>
            </w:pPr>
            <w:r>
              <w:rPr>
                <w:rFonts w:hint="default" w:ascii="Times New Roman" w:hAnsi="Times New Roman" w:cs="Times New Roman"/>
                <w:color w:val="auto"/>
              </w:rPr>
              <w:t>安全生产许可</w:t>
            </w:r>
          </w:p>
        </w:tc>
        <w:tc>
          <w:tcPr>
            <w:tcW w:w="3160" w:type="pct"/>
            <w:shd w:val="clear" w:color="auto" w:fill="auto"/>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危险化学品生产企业取得安全生产许可</w:t>
            </w:r>
          </w:p>
        </w:tc>
        <w:tc>
          <w:tcPr>
            <w:tcW w:w="1029" w:type="pct"/>
            <w:noWrap w:val="0"/>
            <w:tcMar>
              <w:top w:w="57" w:type="dxa"/>
              <w:left w:w="85" w:type="dxa"/>
              <w:bottom w:w="57" w:type="dxa"/>
              <w:right w:w="85" w:type="dxa"/>
            </w:tcMar>
            <w:vAlign w:val="center"/>
          </w:tcPr>
          <w:p>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10" w:type="pct"/>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rPr>
            </w:pPr>
            <w:r>
              <w:rPr>
                <w:rFonts w:hint="default" w:ascii="Times New Roman" w:hAnsi="Times New Roman" w:cs="Times New Roman"/>
                <w:color w:val="auto"/>
              </w:rPr>
              <w:t>危险化学品安全评价</w:t>
            </w:r>
          </w:p>
        </w:tc>
        <w:tc>
          <w:tcPr>
            <w:tcW w:w="3160" w:type="pct"/>
            <w:shd w:val="clear" w:color="auto" w:fill="auto"/>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开展危险化学品安全评价；通过安全设施竣工验收</w:t>
            </w:r>
          </w:p>
        </w:tc>
        <w:tc>
          <w:tcPr>
            <w:tcW w:w="1029" w:type="pct"/>
            <w:noWrap w:val="0"/>
            <w:tcMar>
              <w:top w:w="57" w:type="dxa"/>
              <w:left w:w="85" w:type="dxa"/>
              <w:bottom w:w="57" w:type="dxa"/>
              <w:right w:w="85" w:type="dxa"/>
            </w:tcMar>
            <w:vAlign w:val="center"/>
          </w:tcPr>
          <w:p>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10" w:type="pct"/>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rPr>
            </w:pPr>
            <w:r>
              <w:rPr>
                <w:rFonts w:hint="default" w:ascii="Times New Roman" w:hAnsi="Times New Roman" w:cs="Times New Roman"/>
                <w:color w:val="auto"/>
              </w:rPr>
              <w:t>大气环境风险防控措施</w:t>
            </w:r>
          </w:p>
        </w:tc>
        <w:tc>
          <w:tcPr>
            <w:tcW w:w="3160" w:type="pct"/>
            <w:shd w:val="clear" w:color="auto" w:fill="auto"/>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eastAsia" w:cs="Times New Roman"/>
                <w:color w:val="auto"/>
                <w:lang w:val="en-US" w:eastAsia="zh-CN"/>
              </w:rPr>
              <w:t>设置</w:t>
            </w:r>
            <w:r>
              <w:rPr>
                <w:rFonts w:hint="default" w:ascii="Times New Roman" w:hAnsi="Times New Roman" w:cs="Times New Roman"/>
                <w:color w:val="auto"/>
              </w:rPr>
              <w:t>厂界有毒有害气体泄漏监控预警系统</w:t>
            </w:r>
          </w:p>
        </w:tc>
        <w:tc>
          <w:tcPr>
            <w:tcW w:w="1029" w:type="pct"/>
            <w:noWrap w:val="0"/>
            <w:tcMar>
              <w:top w:w="57" w:type="dxa"/>
              <w:left w:w="85" w:type="dxa"/>
              <w:bottom w:w="57" w:type="dxa"/>
              <w:right w:w="85" w:type="dxa"/>
            </w:tcMar>
            <w:vAlign w:val="center"/>
          </w:tcPr>
          <w:p>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长期</w:t>
            </w:r>
          </w:p>
        </w:tc>
      </w:tr>
    </w:tbl>
    <w:p>
      <w:pPr>
        <w:bidi w:val="0"/>
        <w:ind w:left="0" w:leftChars="0" w:firstLine="0" w:firstLineChars="0"/>
        <w:rPr>
          <w:rFonts w:hint="default" w:ascii="Times New Roman" w:hAnsi="Times New Roman" w:cs="Times New Roman"/>
          <w:color w:val="auto"/>
        </w:rPr>
        <w:sectPr>
          <w:pgSz w:w="11906" w:h="16838"/>
          <w:pgMar w:top="1417" w:right="1417" w:bottom="1247" w:left="158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pPr>
    </w:p>
    <w:p>
      <w:pPr>
        <w:pStyle w:val="3"/>
        <w:bidi w:val="0"/>
        <w:rPr>
          <w:rFonts w:hint="default" w:ascii="Times New Roman" w:hAnsi="Times New Roman" w:cs="Times New Roman"/>
          <w:color w:val="auto"/>
        </w:rPr>
      </w:pPr>
      <w:bookmarkStart w:id="140" w:name="_Toc444522073"/>
      <w:bookmarkStart w:id="141" w:name="_Toc19993"/>
      <w:bookmarkStart w:id="142" w:name="_Toc492730798"/>
      <w:bookmarkStart w:id="143" w:name="_Toc401654960"/>
      <w:bookmarkStart w:id="144" w:name="_Toc4227"/>
      <w:r>
        <w:rPr>
          <w:rFonts w:hint="default" w:ascii="Times New Roman" w:hAnsi="Times New Roman" w:cs="Times New Roman"/>
          <w:color w:val="auto"/>
        </w:rPr>
        <w:t>6 企业突发环境事件风险等级</w:t>
      </w:r>
      <w:bookmarkEnd w:id="140"/>
      <w:bookmarkEnd w:id="141"/>
      <w:bookmarkEnd w:id="142"/>
      <w:bookmarkEnd w:id="143"/>
      <w:bookmarkEnd w:id="144"/>
    </w:p>
    <w:p>
      <w:pPr>
        <w:pStyle w:val="4"/>
        <w:bidi w:val="0"/>
        <w:rPr>
          <w:rFonts w:hint="default" w:ascii="Times New Roman" w:hAnsi="Times New Roman" w:cs="Times New Roman"/>
          <w:color w:val="auto"/>
        </w:rPr>
      </w:pPr>
      <w:bookmarkStart w:id="145" w:name="_Toc492730799"/>
      <w:bookmarkStart w:id="146" w:name="_Toc17899"/>
      <w:bookmarkStart w:id="147" w:name="_Toc14295"/>
      <w:r>
        <w:rPr>
          <w:rFonts w:hint="default" w:ascii="Times New Roman" w:hAnsi="Times New Roman" w:cs="Times New Roman"/>
          <w:color w:val="auto"/>
        </w:rPr>
        <w:t xml:space="preserve">6.1 </w:t>
      </w:r>
      <w:bookmarkEnd w:id="145"/>
      <w:r>
        <w:rPr>
          <w:rFonts w:hint="default" w:ascii="Times New Roman" w:hAnsi="Times New Roman" w:cs="Times New Roman"/>
          <w:color w:val="auto"/>
        </w:rPr>
        <w:t>突发大气事件环境风险等级</w:t>
      </w:r>
      <w:bookmarkEnd w:id="146"/>
      <w:bookmarkEnd w:id="147"/>
    </w:p>
    <w:p>
      <w:pPr>
        <w:bidi w:val="0"/>
        <w:rPr>
          <w:rFonts w:hint="default" w:ascii="Times New Roman" w:hAnsi="Times New Roman" w:cs="Times New Roman"/>
          <w:color w:val="auto"/>
        </w:rPr>
      </w:pPr>
      <w:bookmarkStart w:id="148" w:name="_Hlk493492022"/>
      <w:r>
        <w:rPr>
          <w:rFonts w:hint="default" w:ascii="Times New Roman" w:hAnsi="Times New Roman" w:cs="Times New Roman"/>
          <w:color w:val="auto"/>
        </w:rPr>
        <w:t>计算所有涉气风险物质与临界量的比值</w:t>
      </w:r>
      <w:r>
        <w:rPr>
          <w:rFonts w:hint="default" w:ascii="Times New Roman" w:hAnsi="Times New Roman" w:cs="Times New Roman"/>
          <w:color w:val="auto"/>
          <w:lang w:eastAsia="zh-CN"/>
        </w:rPr>
        <w:t>(</w:t>
      </w:r>
      <w:r>
        <w:rPr>
          <w:rFonts w:hint="default" w:ascii="Times New Roman" w:hAnsi="Times New Roman" w:cs="Times New Roman"/>
          <w:color w:val="auto"/>
        </w:rPr>
        <w:t>Q</w:t>
      </w:r>
      <w:r>
        <w:rPr>
          <w:rFonts w:hint="default" w:ascii="Times New Roman" w:hAnsi="Times New Roman" w:cs="Times New Roman"/>
          <w:color w:val="auto"/>
          <w:lang w:eastAsia="zh-CN"/>
        </w:rPr>
        <w:t>)</w:t>
      </w:r>
      <w:r>
        <w:rPr>
          <w:rFonts w:hint="default" w:ascii="Times New Roman" w:hAnsi="Times New Roman" w:cs="Times New Roman"/>
          <w:color w:val="auto"/>
        </w:rPr>
        <w:t>，计算公式如下：</w:t>
      </w:r>
    </w:p>
    <w:p>
      <w:pPr>
        <w:bidi w:val="0"/>
        <w:rPr>
          <w:rFonts w:hint="default" w:ascii="Times New Roman" w:hAnsi="Times New Roman" w:cs="Times New Roman"/>
          <w:color w:val="auto"/>
        </w:rPr>
      </w:pPr>
      <m:oMathPara>
        <m:oMath>
          <m:r>
            <m:rPr>
              <m:sty m:val="p"/>
            </m:rPr>
            <w:rPr>
              <w:rFonts w:hint="default" w:ascii="Cambria Math" w:hAnsi="Cambria Math" w:cs="Times New Roman"/>
              <w:color w:val="auto"/>
            </w:rPr>
            <m:t>Q=</m:t>
          </m:r>
          <m:f>
            <m:fPr>
              <m:ctrlPr>
                <w:rPr>
                  <w:rFonts w:hint="default" w:ascii="Cambria Math" w:hAnsi="Cambria Math" w:cs="Times New Roman"/>
                  <w:color w:val="auto"/>
                </w:rPr>
              </m:ctrlPr>
            </m:fPr>
            <m:num>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1</m:t>
                  </m:r>
                  <m:ctrlPr>
                    <w:rPr>
                      <w:rFonts w:hint="default" w:ascii="Cambria Math" w:hAnsi="Cambria Math" w:cs="Times New Roman"/>
                      <w:color w:val="auto"/>
                    </w:rPr>
                  </m:ctrlPr>
                </m:sub>
              </m:sSub>
              <m:ctrlPr>
                <w:rPr>
                  <w:rFonts w:hint="default" w:ascii="Cambria Math" w:hAnsi="Cambria Math" w:cs="Times New Roman"/>
                  <w:color w:val="auto"/>
                </w:rPr>
              </m:ctrlPr>
            </m:num>
            <m:den>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1</m:t>
                  </m:r>
                  <m:ctrlPr>
                    <w:rPr>
                      <w:rFonts w:hint="default" w:ascii="Cambria Math" w:hAnsi="Cambria Math" w:cs="Times New Roman"/>
                      <w:color w:val="auto"/>
                    </w:rPr>
                  </m:ctrlPr>
                </m:sub>
              </m:sSub>
              <m:ctrlPr>
                <w:rPr>
                  <w:rFonts w:hint="default" w:ascii="Cambria Math" w:hAnsi="Cambria Math" w:cs="Times New Roman"/>
                  <w:color w:val="auto"/>
                </w:rPr>
              </m:ctrlPr>
            </m:den>
          </m:f>
          <m:r>
            <m:rPr>
              <m:sty m:val="p"/>
            </m:rPr>
            <w:rPr>
              <w:rFonts w:hint="default" w:ascii="Cambria Math" w:hAnsi="Cambria Math" w:cs="Times New Roman"/>
              <w:color w:val="auto"/>
            </w:rPr>
            <m:t>+</m:t>
          </m:r>
          <m:f>
            <m:fPr>
              <m:ctrlPr>
                <w:rPr>
                  <w:rFonts w:hint="default" w:ascii="Cambria Math" w:hAnsi="Cambria Math" w:cs="Times New Roman"/>
                  <w:color w:val="auto"/>
                </w:rPr>
              </m:ctrlPr>
            </m:fPr>
            <m:num>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2</m:t>
                  </m:r>
                  <m:ctrlPr>
                    <w:rPr>
                      <w:rFonts w:hint="default" w:ascii="Cambria Math" w:hAnsi="Cambria Math" w:cs="Times New Roman"/>
                      <w:color w:val="auto"/>
                    </w:rPr>
                  </m:ctrlPr>
                </m:sub>
              </m:sSub>
              <m:ctrlPr>
                <w:rPr>
                  <w:rFonts w:hint="default" w:ascii="Cambria Math" w:hAnsi="Cambria Math" w:cs="Times New Roman"/>
                  <w:color w:val="auto"/>
                </w:rPr>
              </m:ctrlPr>
            </m:num>
            <m:den>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2</m:t>
                  </m:r>
                  <m:ctrlPr>
                    <w:rPr>
                      <w:rFonts w:hint="default" w:ascii="Cambria Math" w:hAnsi="Cambria Math" w:cs="Times New Roman"/>
                      <w:color w:val="auto"/>
                    </w:rPr>
                  </m:ctrlPr>
                </m:sub>
              </m:sSub>
              <m:ctrlPr>
                <w:rPr>
                  <w:rFonts w:hint="default" w:ascii="Cambria Math" w:hAnsi="Cambria Math" w:cs="Times New Roman"/>
                  <w:color w:val="auto"/>
                </w:rPr>
              </m:ctrlPr>
            </m:den>
          </m:f>
          <m:r>
            <m:rPr>
              <m:sty m:val="p"/>
            </m:rPr>
            <w:rPr>
              <w:rFonts w:hint="default" w:ascii="Cambria Math" w:hAnsi="Cambria Math" w:cs="Times New Roman"/>
              <w:color w:val="auto"/>
            </w:rPr>
            <m:t>+⋯+</m:t>
          </m:r>
          <m:f>
            <m:fPr>
              <m:ctrlPr>
                <w:rPr>
                  <w:rFonts w:hint="default" w:ascii="Cambria Math" w:hAnsi="Cambria Math" w:cs="Times New Roman"/>
                  <w:color w:val="auto"/>
                </w:rPr>
              </m:ctrlPr>
            </m:fPr>
            <m:num>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n</m:t>
                  </m:r>
                  <m:ctrlPr>
                    <w:rPr>
                      <w:rFonts w:hint="default" w:ascii="Cambria Math" w:hAnsi="Cambria Math" w:cs="Times New Roman"/>
                      <w:color w:val="auto"/>
                    </w:rPr>
                  </m:ctrlPr>
                </m:sub>
              </m:sSub>
              <m:ctrlPr>
                <w:rPr>
                  <w:rFonts w:hint="default" w:ascii="Cambria Math" w:hAnsi="Cambria Math" w:cs="Times New Roman"/>
                  <w:color w:val="auto"/>
                </w:rPr>
              </m:ctrlPr>
            </m:num>
            <m:den>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n</m:t>
                  </m:r>
                  <m:ctrlPr>
                    <w:rPr>
                      <w:rFonts w:hint="default" w:ascii="Cambria Math" w:hAnsi="Cambria Math" w:cs="Times New Roman"/>
                      <w:color w:val="auto"/>
                    </w:rPr>
                  </m:ctrlPr>
                </m:sub>
              </m:sSub>
              <m:ctrlPr>
                <w:rPr>
                  <w:rFonts w:hint="default" w:ascii="Cambria Math" w:hAnsi="Cambria Math" w:cs="Times New Roman"/>
                  <w:color w:val="auto"/>
                </w:rPr>
              </m:ctrlPr>
            </m:den>
          </m:f>
        </m:oMath>
      </m:oMathPara>
    </w:p>
    <w:p>
      <w:pPr>
        <w:bidi w:val="0"/>
        <w:rPr>
          <w:rFonts w:hint="default" w:ascii="Times New Roman" w:hAnsi="Times New Roman" w:cs="Times New Roman"/>
          <w:color w:val="auto"/>
        </w:rPr>
      </w:pPr>
      <w:r>
        <w:rPr>
          <w:rFonts w:hint="default" w:ascii="Times New Roman" w:hAnsi="Times New Roman" w:cs="Times New Roman"/>
          <w:color w:val="auto"/>
        </w:rPr>
        <w:t>式中：</w:t>
      </w:r>
      <m:oMath>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1</m:t>
            </m:r>
            <m:ctrlPr>
              <w:rPr>
                <w:rFonts w:hint="default" w:ascii="Cambria Math" w:hAnsi="Cambria Math" w:cs="Times New Roman"/>
                <w:color w:val="auto"/>
              </w:rPr>
            </m:ctrlPr>
          </m:sub>
        </m:sSub>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2</m:t>
            </m:r>
            <m:ctrlPr>
              <w:rPr>
                <w:rFonts w:hint="default" w:ascii="Cambria Math" w:hAnsi="Cambria Math" w:cs="Times New Roman"/>
                <w:color w:val="auto"/>
              </w:rPr>
            </m:ctrlPr>
          </m:sub>
        </m:sSub>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m:t>
        </m:r>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n</m:t>
            </m:r>
            <m:ctrlPr>
              <w:rPr>
                <w:rFonts w:hint="default" w:ascii="Cambria Math" w:hAnsi="Cambria Math" w:cs="Times New Roman"/>
                <w:color w:val="auto"/>
              </w:rPr>
            </m:ctrlPr>
          </m:sub>
        </m:sSub>
      </m:oMath>
      <w:r>
        <w:rPr>
          <w:rFonts w:hint="default" w:ascii="Times New Roman" w:hAnsi="Times New Roman" w:cs="Times New Roman"/>
          <w:color w:val="auto"/>
        </w:rPr>
        <w:t>——每种风险物质的存在量，t；</w:t>
      </w:r>
    </w:p>
    <w:p>
      <w:pPr>
        <w:bidi w:val="0"/>
        <w:rPr>
          <w:rFonts w:hint="default" w:ascii="Times New Roman" w:hAnsi="Times New Roman" w:cs="Times New Roman"/>
          <w:color w:val="auto"/>
        </w:rPr>
      </w:pPr>
      <m:oMath>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1</m:t>
            </m:r>
            <m:ctrlPr>
              <w:rPr>
                <w:rFonts w:hint="default" w:ascii="Cambria Math" w:hAnsi="Cambria Math" w:cs="Times New Roman"/>
                <w:color w:val="auto"/>
              </w:rPr>
            </m:ctrlPr>
          </m:sub>
        </m:sSub>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2</m:t>
            </m:r>
            <m:ctrlPr>
              <w:rPr>
                <w:rFonts w:hint="default" w:ascii="Cambria Math" w:hAnsi="Cambria Math" w:cs="Times New Roman"/>
                <w:color w:val="auto"/>
              </w:rPr>
            </m:ctrlPr>
          </m:sub>
        </m:sSub>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n</m:t>
            </m:r>
            <m:ctrlPr>
              <w:rPr>
                <w:rFonts w:hint="default" w:ascii="Cambria Math" w:hAnsi="Cambria Math" w:cs="Times New Roman"/>
                <w:color w:val="auto"/>
              </w:rPr>
            </m:ctrlPr>
          </m:sub>
        </m:sSub>
      </m:oMath>
      <w:r>
        <w:rPr>
          <w:rFonts w:hint="default" w:ascii="Times New Roman" w:hAnsi="Times New Roman" w:cs="Times New Roman"/>
          <w:color w:val="auto"/>
        </w:rPr>
        <w:t>——每种风险物质的临界量，t。</w:t>
      </w:r>
    </w:p>
    <w:p>
      <w:pPr>
        <w:bidi w:val="0"/>
        <w:rPr>
          <w:rFonts w:hint="default" w:ascii="Times New Roman" w:hAnsi="Times New Roman" w:cs="Times New Roman"/>
          <w:color w:val="auto"/>
        </w:rPr>
      </w:pPr>
      <w:r>
        <w:rPr>
          <w:rFonts w:hint="default" w:ascii="Times New Roman" w:hAnsi="Times New Roman" w:cs="Times New Roman"/>
          <w:color w:val="auto"/>
        </w:rPr>
        <w:t>按照数值大小，将Q划分为4个水平：</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Q＜1，以Q0表示，企业直接评为一般环境风险等级；</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1≤Q＜10，以Q1表示；</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10≤Q＜100，以Q2表示；</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4</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Q≥100，以Q3表示。</w:t>
      </w:r>
    </w:p>
    <w:p>
      <w:pPr>
        <w:bidi w:val="0"/>
        <w:rPr>
          <w:rFonts w:hint="default" w:ascii="Times New Roman" w:hAnsi="Times New Roman" w:cs="Times New Roman"/>
          <w:color w:val="auto"/>
        </w:rPr>
      </w:pPr>
      <w:r>
        <w:rPr>
          <w:rFonts w:hint="default" w:ascii="Times New Roman" w:hAnsi="Times New Roman" w:cs="Times New Roman"/>
          <w:color w:val="auto"/>
          <w:lang w:eastAsia="zh-CN"/>
        </w:rPr>
        <w:t>山东省润泰新材料有限公司</w:t>
      </w:r>
      <w:r>
        <w:rPr>
          <w:rFonts w:hint="default" w:ascii="Times New Roman" w:hAnsi="Times New Roman" w:cs="Times New Roman"/>
          <w:color w:val="auto"/>
        </w:rPr>
        <w:t>厂区内所有涉气风险物质与附录A《突发环境事件风险物质及临界量清单》对照情况见表6.1-1。</w:t>
      </w:r>
    </w:p>
    <w:p>
      <w:pPr>
        <w:bidi w:val="0"/>
        <w:ind w:left="0" w:leftChars="0" w:right="0" w:rightChars="0" w:firstLine="0" w:firstLineChars="0"/>
        <w:jc w:val="center"/>
        <w:rPr>
          <w:rFonts w:hint="default" w:ascii="Times New Roman" w:hAnsi="Times New Roman" w:eastAsia="黑体" w:cs="Times New Roman"/>
          <w:color w:val="auto"/>
        </w:rPr>
      </w:pPr>
      <w:r>
        <w:rPr>
          <w:rFonts w:hint="default" w:ascii="Times New Roman" w:hAnsi="Times New Roman" w:eastAsia="黑体" w:cs="Times New Roman"/>
          <w:color w:val="auto"/>
        </w:rPr>
        <w:t>表6.1-1 涉气环境风险物质与临界量的比值结果</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1731"/>
        <w:gridCol w:w="3619"/>
        <w:gridCol w:w="16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物质名称</w:t>
            </w:r>
          </w:p>
        </w:tc>
        <w:tc>
          <w:tcPr>
            <w:tcW w:w="937"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临界量Q</w:t>
            </w:r>
          </w:p>
        </w:tc>
        <w:tc>
          <w:tcPr>
            <w:tcW w:w="1959"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最大贮存</w:t>
            </w:r>
            <w:r>
              <w:rPr>
                <w:rFonts w:hint="default" w:ascii="Times New Roman" w:hAnsi="Times New Roman" w:cs="Times New Roman"/>
                <w:color w:val="auto"/>
              </w:rPr>
              <w:t>量q</w:t>
            </w:r>
          </w:p>
        </w:tc>
        <w:tc>
          <w:tcPr>
            <w:tcW w:w="873"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qi/Qi</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70"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37% 甲醛</w:t>
            </w:r>
          </w:p>
        </w:tc>
        <w:tc>
          <w:tcPr>
            <w:tcW w:w="1730"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50</w:t>
            </w:r>
          </w:p>
        </w:tc>
        <w:tc>
          <w:tcPr>
            <w:tcW w:w="3618"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296（800t折纯）</w:t>
            </w:r>
          </w:p>
        </w:tc>
        <w:tc>
          <w:tcPr>
            <w:tcW w:w="1616"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5.92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70"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甲醇</w:t>
            </w:r>
          </w:p>
        </w:tc>
        <w:tc>
          <w:tcPr>
            <w:tcW w:w="1730"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3618"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3600</w:t>
            </w:r>
          </w:p>
        </w:tc>
        <w:tc>
          <w:tcPr>
            <w:tcW w:w="1616"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34" w:type="dxa"/>
            <w:gridSpan w:val="4"/>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eastAsia="宋体" w:cs="Times New Roman"/>
                <w:color w:val="auto"/>
                <w:lang w:val="en-US" w:eastAsia="zh-CN"/>
              </w:rPr>
            </w:pPr>
            <w:r>
              <w:rPr>
                <w:rFonts w:hint="default" w:ascii="Times New Roman" w:hAnsi="Times New Roman" w:cs="Times New Roman"/>
                <w:color w:val="auto"/>
              </w:rPr>
              <w:t>Σqi/Qi=</w:t>
            </w:r>
            <w:r>
              <w:rPr>
                <w:rFonts w:hint="eastAsia" w:cs="Times New Roman"/>
                <w:color w:val="auto"/>
                <w:lang w:val="en-US" w:eastAsia="zh-CN"/>
              </w:rPr>
              <w:t>365.92</w:t>
            </w:r>
            <w:r>
              <w:rPr>
                <w:rFonts w:hint="default" w:ascii="Times New Roman" w:hAnsi="Times New Roman" w:cs="Times New Roman"/>
                <w:color w:val="auto"/>
              </w:rPr>
              <w:t>≥100</w:t>
            </w:r>
          </w:p>
        </w:tc>
      </w:tr>
    </w:tbl>
    <w:p>
      <w:pPr>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根据计算结果，本公司涉气风险物质数量与临界量比值Q为</w:t>
      </w:r>
      <w:bookmarkStart w:id="149" w:name="_Toc401654962"/>
      <w:r>
        <w:rPr>
          <w:rFonts w:hint="eastAsia" w:cs="Times New Roman"/>
          <w:color w:val="auto"/>
          <w:lang w:val="en-US" w:eastAsia="zh-CN"/>
        </w:rPr>
        <w:t>365.92</w:t>
      </w:r>
      <w:r>
        <w:rPr>
          <w:rFonts w:hint="default" w:ascii="Times New Roman" w:hAnsi="Times New Roman" w:cs="Times New Roman"/>
          <w:color w:val="auto"/>
          <w:lang w:eastAsia="zh-CN"/>
        </w:rPr>
        <w:t>，</w:t>
      </w:r>
      <w:r>
        <w:rPr>
          <w:rFonts w:hint="default" w:ascii="Times New Roman" w:hAnsi="Times New Roman" w:cs="Times New Roman"/>
          <w:sz w:val="24"/>
          <w:szCs w:val="28"/>
        </w:rPr>
        <w:t>Q≥100</w:t>
      </w:r>
      <w:r>
        <w:rPr>
          <w:rFonts w:hint="default" w:ascii="Times New Roman" w:hAnsi="Times New Roman" w:cs="Times New Roman"/>
          <w:color w:val="auto"/>
        </w:rPr>
        <w:t>，</w:t>
      </w:r>
      <w:bookmarkEnd w:id="148"/>
      <w:bookmarkEnd w:id="149"/>
      <w:bookmarkStart w:id="150" w:name="_Toc492730800"/>
      <w:r>
        <w:rPr>
          <w:rFonts w:hint="default" w:ascii="Times New Roman" w:hAnsi="Times New Roman" w:cs="Times New Roman"/>
          <w:color w:val="auto"/>
        </w:rPr>
        <w:t>以Q</w:t>
      </w:r>
      <w:r>
        <w:rPr>
          <w:rFonts w:hint="default" w:ascii="Times New Roman" w:hAnsi="Times New Roman" w:cs="Times New Roman"/>
          <w:color w:val="auto"/>
          <w:lang w:val="en-US" w:eastAsia="zh-CN"/>
        </w:rPr>
        <w:t>3</w:t>
      </w:r>
      <w:r>
        <w:rPr>
          <w:rFonts w:hint="default" w:ascii="Times New Roman" w:hAnsi="Times New Roman" w:cs="Times New Roman"/>
          <w:color w:val="auto"/>
        </w:rPr>
        <w:t>表示</w:t>
      </w:r>
      <w:r>
        <w:rPr>
          <w:rFonts w:hint="default" w:ascii="Times New Roman" w:hAnsi="Times New Roman" w:cs="Times New Roman"/>
          <w:color w:val="auto"/>
          <w:lang w:eastAsia="zh-CN"/>
        </w:rPr>
        <w:t>。</w:t>
      </w:r>
    </w:p>
    <w:p>
      <w:pPr>
        <w:pStyle w:val="5"/>
        <w:bidi w:val="0"/>
        <w:rPr>
          <w:rFonts w:hint="default" w:ascii="Times New Roman" w:hAnsi="Times New Roman" w:cs="Times New Roman"/>
          <w:lang w:eastAsia="zh-CN"/>
        </w:rPr>
      </w:pPr>
      <w:bookmarkStart w:id="151" w:name="_Toc16462"/>
      <w:r>
        <w:rPr>
          <w:rFonts w:hint="default" w:ascii="Times New Roman" w:hAnsi="Times New Roman" w:cs="Times New Roman"/>
        </w:rPr>
        <w:t>6.1.2 生产工艺过程与大气环境风险控制水平</w:t>
      </w:r>
      <w:r>
        <w:rPr>
          <w:rFonts w:hint="default" w:ascii="Times New Roman" w:hAnsi="Times New Roman" w:cs="Times New Roman"/>
          <w:lang w:eastAsia="zh-CN"/>
        </w:rPr>
        <w:t>(</w:t>
      </w:r>
      <w:r>
        <w:rPr>
          <w:rFonts w:hint="default" w:ascii="Times New Roman" w:hAnsi="Times New Roman" w:cs="Times New Roman"/>
        </w:rPr>
        <w:t>M</w:t>
      </w:r>
      <w:r>
        <w:rPr>
          <w:rFonts w:hint="default" w:ascii="Times New Roman" w:hAnsi="Times New Roman" w:cs="Times New Roman"/>
          <w:lang w:eastAsia="zh-CN"/>
        </w:rPr>
        <w:t xml:space="preserve">) </w:t>
      </w:r>
    </w:p>
    <w:p>
      <w:pPr>
        <w:bidi w:val="0"/>
        <w:rPr>
          <w:rFonts w:hint="default" w:ascii="Times New Roman" w:hAnsi="Times New Roman" w:cs="Times New Roman"/>
          <w:b/>
          <w:bCs/>
        </w:rPr>
      </w:pPr>
      <w:r>
        <w:rPr>
          <w:rFonts w:hint="default" w:ascii="Times New Roman" w:hAnsi="Times New Roman" w:cs="Times New Roman"/>
          <w:b/>
          <w:bCs/>
        </w:rPr>
        <w:t>6.1.2.1 生产工艺过程含有风险工艺和设备情况</w:t>
      </w:r>
    </w:p>
    <w:p>
      <w:pPr>
        <w:bidi w:val="0"/>
        <w:rPr>
          <w:rFonts w:hint="default" w:ascii="Times New Roman" w:hAnsi="Times New Roman" w:cs="Times New Roman"/>
        </w:rPr>
      </w:pPr>
      <w:r>
        <w:rPr>
          <w:rFonts w:hint="default" w:ascii="Times New Roman" w:hAnsi="Times New Roman" w:cs="Times New Roman"/>
        </w:rPr>
        <w:t>结合公司生产工艺及相应生产设备，通过对公司所有产品的工艺过程进行完整识别，公司生产工艺的评分情况见表6.1-2。</w:t>
      </w:r>
    </w:p>
    <w:p>
      <w:pPr>
        <w:bidi w:val="0"/>
        <w:rPr>
          <w:rFonts w:hint="default" w:ascii="Times New Roman" w:hAnsi="Times New Roman" w:cs="Times New Roman"/>
        </w:rPr>
        <w:sectPr>
          <w:headerReference r:id="rId10" w:type="default"/>
          <w:pgSz w:w="11905" w:h="16838"/>
          <w:pgMar w:top="1417" w:right="1247" w:bottom="1417" w:left="1587" w:header="992" w:footer="680" w:gutter="0"/>
          <w:pgBorders>
            <w:top w:val="none" w:sz="0" w:space="0"/>
            <w:left w:val="none" w:sz="0" w:space="0"/>
            <w:bottom w:val="none" w:sz="0" w:space="0"/>
            <w:right w:val="none" w:sz="0" w:space="0"/>
          </w:pgBorders>
          <w:pgNumType w:fmt="decimal"/>
          <w:cols w:space="720" w:num="1"/>
          <w:titlePg/>
          <w:rtlGutter w:val="0"/>
          <w:docGrid w:type="lines" w:linePitch="333" w:charSpace="0"/>
        </w:sectPr>
      </w:pP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表6.1-2 企业生产工艺过程评估</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043"/>
        <w:gridCol w:w="1039"/>
        <w:gridCol w:w="1093"/>
        <w:gridCol w:w="106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604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  估  依  据</w:t>
            </w:r>
          </w:p>
        </w:tc>
        <w:tc>
          <w:tcPr>
            <w:tcW w:w="1039"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分 值</w:t>
            </w:r>
          </w:p>
        </w:tc>
        <w:tc>
          <w:tcPr>
            <w:tcW w:w="109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企业情况</w:t>
            </w:r>
          </w:p>
        </w:tc>
        <w:tc>
          <w:tcPr>
            <w:tcW w:w="10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评估分值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604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涉及光气及光气化工艺、电解工艺</w:t>
            </w:r>
            <w:r>
              <w:rPr>
                <w:rFonts w:hint="default" w:ascii="Times New Roman" w:hAnsi="Times New Roman" w:cs="Times New Roman"/>
                <w:color w:val="auto"/>
                <w:lang w:eastAsia="zh-CN"/>
              </w:rPr>
              <w:t>(</w:t>
            </w:r>
            <w:r>
              <w:rPr>
                <w:rFonts w:hint="default" w:ascii="Times New Roman" w:hAnsi="Times New Roman" w:cs="Times New Roman"/>
                <w:color w:val="auto"/>
              </w:rPr>
              <w:t>氯碱</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、氯化工艺、硝化工艺、合成氨工艺、裂解</w:t>
            </w:r>
            <w:r>
              <w:rPr>
                <w:rFonts w:hint="default" w:ascii="Times New Roman" w:hAnsi="Times New Roman" w:cs="Times New Roman"/>
                <w:color w:val="auto"/>
                <w:lang w:eastAsia="zh-CN"/>
              </w:rPr>
              <w:t>(</w:t>
            </w:r>
            <w:r>
              <w:rPr>
                <w:rFonts w:hint="default" w:ascii="Times New Roman" w:hAnsi="Times New Roman" w:cs="Times New Roman"/>
                <w:color w:val="auto"/>
              </w:rPr>
              <w:t>裂化</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工艺、氟化工艺、加氢工艺、重氮化工艺、氧化工艺、过氧化工艺、胺基化工艺、磺化工艺、聚合工艺、烷基化工艺、新型煤化工工艺、电石生产工艺、偶氮化工艺</w:t>
            </w:r>
          </w:p>
        </w:tc>
        <w:tc>
          <w:tcPr>
            <w:tcW w:w="1039"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10/每套</w:t>
            </w:r>
          </w:p>
        </w:tc>
        <w:tc>
          <w:tcPr>
            <w:tcW w:w="1093" w:type="dxa"/>
            <w:noWrap w:val="0"/>
            <w:vAlign w:val="center"/>
          </w:tcPr>
          <w:p>
            <w:pPr>
              <w:pStyle w:val="3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氧化工艺</w:t>
            </w:r>
            <w:r>
              <w:rPr>
                <w:rFonts w:hint="default" w:ascii="Times New Roman" w:hAnsi="Times New Roman" w:cs="Times New Roman"/>
                <w:color w:val="auto"/>
                <w:lang w:val="en-US" w:eastAsia="zh-CN"/>
              </w:rPr>
              <w:t>4套</w:t>
            </w:r>
          </w:p>
        </w:tc>
        <w:tc>
          <w:tcPr>
            <w:tcW w:w="10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lang w:val="en-US" w:eastAsia="zh-CN"/>
              </w:rPr>
              <w:t>4</w:t>
            </w: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604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其他高温或高压、涉及易燃易爆等物质的工艺过程a</w:t>
            </w:r>
          </w:p>
        </w:tc>
        <w:tc>
          <w:tcPr>
            <w:tcW w:w="1039"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5/每套</w:t>
            </w:r>
          </w:p>
        </w:tc>
        <w:tc>
          <w:tcPr>
            <w:tcW w:w="109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w:t>
            </w:r>
          </w:p>
        </w:tc>
        <w:tc>
          <w:tcPr>
            <w:tcW w:w="10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604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具有国家规定限期淘汰的工艺名录和设备b</w:t>
            </w:r>
          </w:p>
        </w:tc>
        <w:tc>
          <w:tcPr>
            <w:tcW w:w="1039"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5/每套</w:t>
            </w:r>
          </w:p>
        </w:tc>
        <w:tc>
          <w:tcPr>
            <w:tcW w:w="109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w:t>
            </w:r>
          </w:p>
        </w:tc>
        <w:tc>
          <w:tcPr>
            <w:tcW w:w="10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604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不涉及以上危险工艺过程或国家规定的禁用工艺/设备</w:t>
            </w:r>
          </w:p>
        </w:tc>
        <w:tc>
          <w:tcPr>
            <w:tcW w:w="1039"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109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w:t>
            </w:r>
          </w:p>
        </w:tc>
        <w:tc>
          <w:tcPr>
            <w:tcW w:w="10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8175" w:type="dxa"/>
            <w:gridSpan w:val="3"/>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合计</w:t>
            </w:r>
          </w:p>
        </w:tc>
        <w:tc>
          <w:tcPr>
            <w:tcW w:w="10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lang w:val="en-US" w:eastAsia="zh-CN"/>
              </w:rPr>
              <w:t>4</w:t>
            </w:r>
            <w:r>
              <w:rPr>
                <w:rFonts w:hint="default" w:ascii="Times New Roman" w:hAnsi="Times New Roman" w:cs="Times New Roman"/>
                <w:color w:val="auto"/>
              </w:rPr>
              <w:t>0</w:t>
            </w:r>
          </w:p>
        </w:tc>
      </w:tr>
    </w:tbl>
    <w:p>
      <w:pPr>
        <w:widowControl/>
        <w:adjustRightInd w:val="0"/>
        <w:snapToGrid w:val="0"/>
        <w:spacing w:line="276" w:lineRule="auto"/>
        <w:jc w:val="left"/>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val="0"/>
          <w:color w:val="auto"/>
          <w:kern w:val="0"/>
          <w:sz w:val="21"/>
          <w:szCs w:val="21"/>
          <w:highlight w:val="none"/>
        </w:rPr>
        <w:t>注：a高温指工艺温度≥300℃，高压指压力容器的设计压力</w:t>
      </w:r>
      <w:r>
        <w:rPr>
          <w:rFonts w:hint="default" w:ascii="Times New Roman" w:hAnsi="Times New Roman" w:cs="Times New Roman"/>
          <w:snapToGrid w:val="0"/>
          <w:color w:val="auto"/>
          <w:kern w:val="0"/>
          <w:sz w:val="21"/>
          <w:szCs w:val="21"/>
          <w:highlight w:val="none"/>
          <w:lang w:eastAsia="zh-CN"/>
        </w:rPr>
        <w:t>(</w:t>
      </w:r>
      <w:r>
        <w:rPr>
          <w:rFonts w:hint="default" w:ascii="Times New Roman" w:hAnsi="Times New Roman" w:cs="Times New Roman"/>
          <w:snapToGrid w:val="0"/>
          <w:color w:val="auto"/>
          <w:kern w:val="0"/>
          <w:sz w:val="21"/>
          <w:szCs w:val="21"/>
          <w:highlight w:val="none"/>
        </w:rPr>
        <w:t>p</w:t>
      </w:r>
      <w:r>
        <w:rPr>
          <w:rFonts w:hint="default" w:ascii="Times New Roman" w:hAnsi="Times New Roman" w:cs="Times New Roman"/>
          <w:snapToGrid w:val="0"/>
          <w:color w:val="auto"/>
          <w:kern w:val="0"/>
          <w:sz w:val="21"/>
          <w:szCs w:val="21"/>
          <w:highlight w:val="none"/>
          <w:lang w:eastAsia="zh-CN"/>
        </w:rPr>
        <w:t xml:space="preserve">) </w:t>
      </w:r>
      <w:r>
        <w:rPr>
          <w:rFonts w:hint="default" w:ascii="Times New Roman" w:hAnsi="Times New Roman" w:cs="Times New Roman"/>
          <w:snapToGrid w:val="0"/>
          <w:color w:val="auto"/>
          <w:kern w:val="0"/>
          <w:sz w:val="21"/>
          <w:szCs w:val="21"/>
          <w:highlight w:val="none"/>
        </w:rPr>
        <w:t>≥10.0MPa，易燃易爆等物质是指按照GB30000.2至GB30000.13所确定的化学物质；b指《产业结构调整指导目录》中有淘汰期限的淘汰类落后生产工艺装备。</w:t>
      </w:r>
    </w:p>
    <w:p>
      <w:pPr>
        <w:bidi w:val="0"/>
        <w:rPr>
          <w:rFonts w:hint="default" w:ascii="Times New Roman" w:hAnsi="Times New Roman" w:cs="Times New Roman"/>
          <w:b/>
          <w:bCs/>
        </w:rPr>
      </w:pPr>
      <w:r>
        <w:rPr>
          <w:rFonts w:hint="default" w:ascii="Times New Roman" w:hAnsi="Times New Roman" w:cs="Times New Roman"/>
          <w:b/>
          <w:bCs/>
        </w:rPr>
        <w:t>6.1.2.2 大</w:t>
      </w:r>
      <w:bookmarkStart w:id="152" w:name="_Hlk511736788"/>
      <w:r>
        <w:rPr>
          <w:rFonts w:hint="default" w:ascii="Times New Roman" w:hAnsi="Times New Roman" w:cs="Times New Roman"/>
          <w:b/>
          <w:bCs/>
        </w:rPr>
        <w:t>气环境风险防控措施及突发大气环境事件发生情况</w:t>
      </w:r>
      <w:bookmarkEnd w:id="152"/>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结合公司现有大气环境风险防控措施及突发大气环境事件发生情况，公司评分情况见表6.1-3。</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表6.1-3 企业大气环境风险防控措施及突发大气环境事件发生情况</w:t>
      </w:r>
    </w:p>
    <w:tbl>
      <w:tblPr>
        <w:tblStyle w:val="29"/>
        <w:tblW w:w="924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42"/>
        <w:gridCol w:w="4957"/>
        <w:gridCol w:w="684"/>
        <w:gridCol w:w="1825"/>
        <w:gridCol w:w="73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tblHeader/>
          <w:jc w:val="center"/>
        </w:trPr>
        <w:tc>
          <w:tcPr>
            <w:tcW w:w="1042"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评估</w:t>
            </w:r>
          </w:p>
          <w:p>
            <w:pPr>
              <w:pStyle w:val="37"/>
              <w:bidi w:val="0"/>
              <w:rPr>
                <w:rFonts w:hint="default" w:ascii="Times New Roman" w:hAnsi="Times New Roman" w:cs="Times New Roman"/>
                <w:color w:val="auto"/>
              </w:rPr>
            </w:pPr>
            <w:r>
              <w:rPr>
                <w:rFonts w:hint="default" w:ascii="Times New Roman" w:hAnsi="Times New Roman" w:cs="Times New Roman"/>
                <w:color w:val="auto"/>
              </w:rPr>
              <w:t>指标</w:t>
            </w:r>
          </w:p>
        </w:tc>
        <w:tc>
          <w:tcPr>
            <w:tcW w:w="4957"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  估  依  据</w:t>
            </w:r>
          </w:p>
        </w:tc>
        <w:tc>
          <w:tcPr>
            <w:tcW w:w="68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分值</w:t>
            </w:r>
          </w:p>
        </w:tc>
        <w:tc>
          <w:tcPr>
            <w:tcW w:w="1825"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企业情况</w:t>
            </w:r>
          </w:p>
        </w:tc>
        <w:tc>
          <w:tcPr>
            <w:tcW w:w="73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评估</w:t>
            </w:r>
          </w:p>
          <w:p>
            <w:pPr>
              <w:pStyle w:val="37"/>
              <w:bidi w:val="0"/>
              <w:rPr>
                <w:rFonts w:hint="default" w:ascii="Times New Roman" w:hAnsi="Times New Roman" w:cs="Times New Roman"/>
                <w:color w:val="auto"/>
              </w:rPr>
            </w:pPr>
            <w:r>
              <w:rPr>
                <w:rFonts w:hint="default" w:ascii="Times New Roman" w:hAnsi="Times New Roman" w:cs="Times New Roman"/>
                <w:color w:val="auto"/>
              </w:rPr>
              <w:t>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042"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毒性气体泄漏监控预警措施</w:t>
            </w:r>
          </w:p>
        </w:tc>
        <w:tc>
          <w:tcPr>
            <w:tcW w:w="4957" w:type="dxa"/>
            <w:noWrap w:val="0"/>
            <w:tcMar>
              <w:top w:w="0" w:type="dxa"/>
              <w:left w:w="51" w:type="dxa"/>
              <w:bottom w:w="0" w:type="dxa"/>
              <w:right w:w="51" w:type="dxa"/>
            </w:tcMar>
            <w:vAlign w:val="center"/>
          </w:tcPr>
          <w:p>
            <w:pPr>
              <w:pStyle w:val="37"/>
              <w:bidi w:val="0"/>
              <w:jc w:val="both"/>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不涉及附录A中有毒有害气体的；或</w:t>
            </w: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根据实际情况，具备有毒有害气体</w:t>
            </w:r>
            <w:r>
              <w:rPr>
                <w:rFonts w:hint="default" w:ascii="Times New Roman" w:hAnsi="Times New Roman" w:cs="Times New Roman"/>
                <w:color w:val="auto"/>
                <w:lang w:eastAsia="zh-CN"/>
              </w:rPr>
              <w:t>(</w:t>
            </w:r>
            <w:r>
              <w:rPr>
                <w:rFonts w:hint="default" w:ascii="Times New Roman" w:hAnsi="Times New Roman" w:cs="Times New Roman"/>
                <w:color w:val="auto"/>
              </w:rPr>
              <w:t>如硫化氢、氰化氢、氯化氢、光气、氯气、氨气、苯等</w:t>
            </w:r>
            <w:r>
              <w:rPr>
                <w:rFonts w:hint="default" w:ascii="Times New Roman" w:hAnsi="Times New Roman" w:cs="Times New Roman"/>
                <w:color w:val="auto"/>
                <w:lang w:eastAsia="zh-CN"/>
              </w:rPr>
              <w:t>)</w:t>
            </w:r>
            <w:r>
              <w:rPr>
                <w:rFonts w:hint="default" w:ascii="Times New Roman" w:hAnsi="Times New Roman" w:cs="Times New Roman"/>
                <w:color w:val="auto"/>
              </w:rPr>
              <w:t>厂界泄漏监控预警系统的</w:t>
            </w:r>
          </w:p>
        </w:tc>
        <w:tc>
          <w:tcPr>
            <w:tcW w:w="68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1825"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不具备厂界有毒有害气体泄漏监控预警系统</w:t>
            </w:r>
          </w:p>
        </w:tc>
        <w:tc>
          <w:tcPr>
            <w:tcW w:w="734" w:type="dxa"/>
            <w:vMerge w:val="restart"/>
            <w:noWrap w:val="0"/>
            <w:tcMar>
              <w:top w:w="0" w:type="dxa"/>
              <w:left w:w="51" w:type="dxa"/>
              <w:bottom w:w="0" w:type="dxa"/>
              <w:right w:w="51" w:type="dxa"/>
            </w:tcMar>
            <w:vAlign w:val="center"/>
          </w:tcPr>
          <w:p>
            <w:pPr>
              <w:pStyle w:val="37"/>
              <w:bidi w:val="0"/>
              <w:rPr>
                <w:rFonts w:hint="default" w:ascii="Times New Roman" w:hAnsi="Times New Roman" w:eastAsia="宋体" w:cs="Times New Roman"/>
                <w:color w:val="auto"/>
                <w:lang w:val="en-US" w:eastAsia="zh-CN"/>
              </w:rPr>
            </w:pPr>
            <w:r>
              <w:rPr>
                <w:rFonts w:hint="eastAsia" w:cs="Times New Roman"/>
                <w:color w:val="auto"/>
                <w:lang w:val="en-US" w:eastAsia="zh-CN"/>
              </w:rPr>
              <w:t>25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042"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957"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不具备厂界有毒有害气体泄漏监控预警系统的</w:t>
            </w:r>
          </w:p>
        </w:tc>
        <w:tc>
          <w:tcPr>
            <w:tcW w:w="68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25</w:t>
            </w:r>
          </w:p>
        </w:tc>
        <w:tc>
          <w:tcPr>
            <w:tcW w:w="1825"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73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042"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符合防护距离情况</w:t>
            </w:r>
          </w:p>
        </w:tc>
        <w:tc>
          <w:tcPr>
            <w:tcW w:w="4957"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符合环评及批复文件防护距离要求的</w:t>
            </w:r>
          </w:p>
        </w:tc>
        <w:tc>
          <w:tcPr>
            <w:tcW w:w="68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1825"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不涉及防护距离要求</w:t>
            </w:r>
          </w:p>
        </w:tc>
        <w:tc>
          <w:tcPr>
            <w:tcW w:w="73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042"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957"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不符合环评及批复文件防护距离要求的</w:t>
            </w:r>
          </w:p>
        </w:tc>
        <w:tc>
          <w:tcPr>
            <w:tcW w:w="68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25</w:t>
            </w:r>
          </w:p>
        </w:tc>
        <w:tc>
          <w:tcPr>
            <w:tcW w:w="1825"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73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042"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近3年内突发大气环境事件发生情况</w:t>
            </w:r>
          </w:p>
        </w:tc>
        <w:tc>
          <w:tcPr>
            <w:tcW w:w="4957"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发生过特别重大或重大等级突发大气环境事件的</w:t>
            </w:r>
          </w:p>
        </w:tc>
        <w:tc>
          <w:tcPr>
            <w:tcW w:w="68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20</w:t>
            </w:r>
          </w:p>
        </w:tc>
        <w:tc>
          <w:tcPr>
            <w:tcW w:w="1825"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未发生突发大气环境事件</w:t>
            </w:r>
          </w:p>
        </w:tc>
        <w:tc>
          <w:tcPr>
            <w:tcW w:w="73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042"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957"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发生过较大等级突发大气环境事件的</w:t>
            </w:r>
          </w:p>
        </w:tc>
        <w:tc>
          <w:tcPr>
            <w:tcW w:w="68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15</w:t>
            </w:r>
          </w:p>
        </w:tc>
        <w:tc>
          <w:tcPr>
            <w:tcW w:w="1825"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73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042"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957"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发生过一般等级突发大气环境事件的</w:t>
            </w:r>
          </w:p>
        </w:tc>
        <w:tc>
          <w:tcPr>
            <w:tcW w:w="68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10</w:t>
            </w:r>
          </w:p>
        </w:tc>
        <w:tc>
          <w:tcPr>
            <w:tcW w:w="1825"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73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042"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957"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未发生突发大气环境事件的</w:t>
            </w:r>
          </w:p>
        </w:tc>
        <w:tc>
          <w:tcPr>
            <w:tcW w:w="68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1825"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73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8508" w:type="dxa"/>
            <w:gridSpan w:val="4"/>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合计</w:t>
            </w:r>
          </w:p>
        </w:tc>
        <w:tc>
          <w:tcPr>
            <w:tcW w:w="734" w:type="dxa"/>
            <w:noWrap w:val="0"/>
            <w:tcMar>
              <w:top w:w="0" w:type="dxa"/>
              <w:left w:w="51" w:type="dxa"/>
              <w:bottom w:w="0" w:type="dxa"/>
              <w:right w:w="51" w:type="dxa"/>
            </w:tcMar>
            <w:vAlign w:val="center"/>
          </w:tcPr>
          <w:p>
            <w:pPr>
              <w:pStyle w:val="37"/>
              <w:bidi w:val="0"/>
              <w:rPr>
                <w:rFonts w:hint="default" w:ascii="Times New Roman" w:hAnsi="Times New Roman" w:eastAsia="宋体" w:cs="Times New Roman"/>
                <w:color w:val="auto"/>
                <w:lang w:val="en-US" w:eastAsia="zh-CN"/>
              </w:rPr>
            </w:pPr>
            <w:r>
              <w:rPr>
                <w:rFonts w:hint="eastAsia" w:cs="Times New Roman"/>
                <w:color w:val="auto"/>
                <w:lang w:val="en-US" w:eastAsia="zh-CN"/>
              </w:rPr>
              <w:t>25</w:t>
            </w:r>
          </w:p>
        </w:tc>
      </w:tr>
    </w:tbl>
    <w:p>
      <w:pPr>
        <w:bidi w:val="0"/>
        <w:rPr>
          <w:rFonts w:hint="default" w:ascii="Times New Roman" w:hAnsi="Times New Roman" w:cs="Times New Roman"/>
          <w:b/>
          <w:bCs/>
        </w:rPr>
      </w:pPr>
      <w:r>
        <w:rPr>
          <w:rFonts w:hint="default" w:ascii="Times New Roman" w:hAnsi="Times New Roman" w:cs="Times New Roman"/>
          <w:b/>
          <w:bCs/>
        </w:rPr>
        <w:t>6.1.2.3 企业</w:t>
      </w:r>
      <w:bookmarkStart w:id="153" w:name="_Hlk511737552"/>
      <w:r>
        <w:rPr>
          <w:rFonts w:hint="default" w:ascii="Times New Roman" w:hAnsi="Times New Roman" w:cs="Times New Roman"/>
          <w:b/>
          <w:bCs/>
        </w:rPr>
        <w:t>生产工艺过程与大气环境风险控制水平</w:t>
      </w:r>
      <w:bookmarkEnd w:id="153"/>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结合公司生产工艺过程与大气环境风险控制水平情况，公司评分情况见表6.1-4。</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FF0000"/>
          <w:highlight w:val="none"/>
        </w:rPr>
        <w:sectPr>
          <w:pgSz w:w="11905" w:h="16838"/>
          <w:pgMar w:top="1417" w:right="1247" w:bottom="1417" w:left="1587" w:header="992" w:footer="680" w:gutter="0"/>
          <w:pgBorders>
            <w:top w:val="none" w:sz="0" w:space="0"/>
            <w:left w:val="none" w:sz="0" w:space="0"/>
            <w:bottom w:val="none" w:sz="0" w:space="0"/>
            <w:right w:val="none" w:sz="0" w:space="0"/>
          </w:pgBorders>
          <w:pgNumType w:fmt="decimal"/>
          <w:cols w:space="720" w:num="1"/>
          <w:titlePg/>
          <w:rtlGutter w:val="0"/>
          <w:docGrid w:type="lines" w:linePitch="333" w:charSpace="0"/>
        </w:sectPr>
      </w:pP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表6.1-4 企业生产工艺过程与大气环境风险控制水平</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3795"/>
        <w:gridCol w:w="4251"/>
        <w:gridCol w:w="119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79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   估   指   标</w:t>
            </w:r>
          </w:p>
        </w:tc>
        <w:tc>
          <w:tcPr>
            <w:tcW w:w="425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评估依据</w:t>
            </w:r>
          </w:p>
        </w:tc>
        <w:tc>
          <w:tcPr>
            <w:tcW w:w="1196"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企业评分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795"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生产工艺</w:t>
            </w:r>
          </w:p>
        </w:tc>
        <w:tc>
          <w:tcPr>
            <w:tcW w:w="4251" w:type="dxa"/>
            <w:noWrap w:val="0"/>
            <w:vAlign w:val="center"/>
          </w:tcPr>
          <w:p>
            <w:pPr>
              <w:pStyle w:val="37"/>
              <w:bidi w:val="0"/>
              <w:ind w:firstLine="0" w:firstLineChars="0"/>
              <w:rPr>
                <w:rFonts w:hint="default" w:ascii="Times New Roman" w:hAnsi="Times New Roman" w:eastAsia="宋体" w:cs="Times New Roman"/>
                <w:color w:val="auto"/>
                <w:kern w:val="2"/>
                <w:sz w:val="21"/>
                <w:szCs w:val="20"/>
                <w:highlight w:val="none"/>
                <w:lang w:val="en-US" w:eastAsia="zh-CN" w:bidi="ar-SA"/>
              </w:rPr>
            </w:pPr>
            <w:r>
              <w:rPr>
                <w:rFonts w:hint="default" w:ascii="Times New Roman" w:hAnsi="Times New Roman" w:cs="Times New Roman"/>
                <w:color w:val="auto"/>
                <w:highlight w:val="none"/>
              </w:rPr>
              <w:t>氧化工艺</w:t>
            </w:r>
            <w:r>
              <w:rPr>
                <w:rFonts w:hint="default" w:ascii="Times New Roman" w:hAnsi="Times New Roman" w:cs="Times New Roman"/>
                <w:color w:val="auto"/>
                <w:highlight w:val="none"/>
                <w:lang w:val="en-US" w:eastAsia="zh-CN"/>
              </w:rPr>
              <w:t>4套</w:t>
            </w:r>
          </w:p>
        </w:tc>
        <w:tc>
          <w:tcPr>
            <w:tcW w:w="1196" w:type="dxa"/>
            <w:noWrap w:val="0"/>
            <w:vAlign w:val="center"/>
          </w:tcPr>
          <w:p>
            <w:pPr>
              <w:pStyle w:val="37"/>
              <w:bidi w:val="0"/>
              <w:ind w:firstLine="0" w:firstLineChars="0"/>
              <w:rPr>
                <w:rFonts w:hint="default" w:ascii="Times New Roman" w:hAnsi="Times New Roman" w:eastAsia="宋体" w:cs="Times New Roman"/>
                <w:color w:val="auto"/>
                <w:kern w:val="2"/>
                <w:sz w:val="21"/>
                <w:szCs w:val="20"/>
                <w:highlight w:val="none"/>
                <w:lang w:val="en-US" w:eastAsia="zh-CN" w:bidi="ar-SA"/>
              </w:rPr>
            </w:pP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795"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毒性气体泄漏监控预警措施</w:t>
            </w:r>
          </w:p>
        </w:tc>
        <w:tc>
          <w:tcPr>
            <w:tcW w:w="4251" w:type="dxa"/>
            <w:noWrap w:val="0"/>
            <w:vAlign w:val="center"/>
          </w:tcPr>
          <w:p>
            <w:pPr>
              <w:pStyle w:val="37"/>
              <w:bidi w:val="0"/>
              <w:rPr>
                <w:rFonts w:hint="default" w:ascii="Times New Roman" w:hAnsi="Times New Roman" w:cs="Times New Roman"/>
                <w:color w:val="auto"/>
                <w:highlight w:val="none"/>
              </w:rPr>
            </w:pPr>
            <w:r>
              <w:rPr>
                <w:rFonts w:hint="eastAsia" w:cs="Times New Roman"/>
                <w:color w:val="auto"/>
                <w:highlight w:val="none"/>
                <w:lang w:val="en-US" w:eastAsia="zh-CN"/>
              </w:rPr>
              <w:t>不</w:t>
            </w:r>
            <w:r>
              <w:rPr>
                <w:rFonts w:hint="default" w:ascii="Times New Roman" w:hAnsi="Times New Roman" w:cs="Times New Roman"/>
                <w:color w:val="auto"/>
                <w:highlight w:val="none"/>
              </w:rPr>
              <w:t>具备厂界有毒有害气体泄漏监控预警系统</w:t>
            </w:r>
          </w:p>
        </w:tc>
        <w:tc>
          <w:tcPr>
            <w:tcW w:w="1196" w:type="dxa"/>
            <w:noWrap w:val="0"/>
            <w:vAlign w:val="center"/>
          </w:tcPr>
          <w:p>
            <w:pPr>
              <w:pStyle w:val="37"/>
              <w:bidi w:val="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795"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符合防护距离情况</w:t>
            </w:r>
          </w:p>
        </w:tc>
        <w:tc>
          <w:tcPr>
            <w:tcW w:w="4251"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不涉及防护距离要求</w:t>
            </w:r>
          </w:p>
        </w:tc>
        <w:tc>
          <w:tcPr>
            <w:tcW w:w="1196"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795"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近3年内突发大气环境事件发生情况</w:t>
            </w:r>
          </w:p>
        </w:tc>
        <w:tc>
          <w:tcPr>
            <w:tcW w:w="4251"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未发生突发大气环境事件</w:t>
            </w:r>
          </w:p>
        </w:tc>
        <w:tc>
          <w:tcPr>
            <w:tcW w:w="1196"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046" w:type="dxa"/>
            <w:gridSpan w:val="2"/>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合计</w:t>
            </w:r>
          </w:p>
        </w:tc>
        <w:tc>
          <w:tcPr>
            <w:tcW w:w="1196" w:type="dxa"/>
            <w:noWrap w:val="0"/>
            <w:vAlign w:val="center"/>
          </w:tcPr>
          <w:p>
            <w:pPr>
              <w:pStyle w:val="37"/>
              <w:bidi w:val="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65</w:t>
            </w:r>
          </w:p>
        </w:tc>
      </w:tr>
    </w:tbl>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表6.1-5 企业生产工艺过程与大气环境风险控制水平类型划分</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730"/>
        <w:gridCol w:w="451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30"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生产工艺过程与环境风险控制水平值</w:t>
            </w:r>
          </w:p>
        </w:tc>
        <w:tc>
          <w:tcPr>
            <w:tcW w:w="4512"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生产工艺过程与环境风险控制水平类型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30"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M＜25</w:t>
            </w:r>
          </w:p>
        </w:tc>
        <w:tc>
          <w:tcPr>
            <w:tcW w:w="4512"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M1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3" w:hRule="atLeast"/>
          <w:jc w:val="center"/>
        </w:trPr>
        <w:tc>
          <w:tcPr>
            <w:tcW w:w="4730"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25≤M＜45</w:t>
            </w:r>
          </w:p>
        </w:tc>
        <w:tc>
          <w:tcPr>
            <w:tcW w:w="4512"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M2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30"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45≤M＜60</w:t>
            </w:r>
          </w:p>
        </w:tc>
        <w:tc>
          <w:tcPr>
            <w:tcW w:w="4512"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M3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30"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M≥60</w:t>
            </w:r>
          </w:p>
        </w:tc>
        <w:tc>
          <w:tcPr>
            <w:tcW w:w="4512" w:type="dxa"/>
            <w:noWrap w:val="0"/>
            <w:vAlign w:val="center"/>
          </w:tcPr>
          <w:p>
            <w:pPr>
              <w:pStyle w:val="37"/>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M4</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对照表6.1-4与表6.1-5，本公司生产工艺过程与大气环境风险控制水平为M</w:t>
      </w:r>
      <w:r>
        <w:rPr>
          <w:rFonts w:hint="eastAsia" w:cs="Times New Roman"/>
          <w:bCs/>
          <w:color w:val="auto"/>
          <w:kern w:val="0"/>
          <w:highlight w:val="none"/>
          <w:lang w:val="en-US" w:eastAsia="zh-CN"/>
        </w:rPr>
        <w:t>4</w:t>
      </w:r>
      <w:r>
        <w:rPr>
          <w:rFonts w:hint="default" w:ascii="Times New Roman" w:hAnsi="Times New Roman" w:cs="Times New Roman"/>
          <w:bCs/>
          <w:color w:val="auto"/>
          <w:kern w:val="0"/>
          <w:highlight w:val="none"/>
        </w:rPr>
        <w:t>。</w:t>
      </w:r>
    </w:p>
    <w:p>
      <w:pPr>
        <w:pStyle w:val="5"/>
        <w:bidi w:val="0"/>
        <w:rPr>
          <w:rFonts w:hint="default" w:ascii="Times New Roman" w:hAnsi="Times New Roman" w:cs="Times New Roman"/>
          <w:color w:val="auto"/>
          <w:lang w:eastAsia="zh-CN"/>
        </w:rPr>
      </w:pPr>
      <w:r>
        <w:rPr>
          <w:rFonts w:hint="default" w:ascii="Times New Roman" w:hAnsi="Times New Roman" w:cs="Times New Roman"/>
          <w:color w:val="auto"/>
          <w:highlight w:val="none"/>
        </w:rPr>
        <w:t>6.1.3 大气环境风险受体敏感程度</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E</w:t>
      </w:r>
      <w:r>
        <w:rPr>
          <w:rFonts w:hint="default" w:ascii="Times New Roman" w:hAnsi="Times New Roman" w:cs="Times New Roman"/>
          <w:color w:val="auto"/>
          <w:highlight w:val="none"/>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大气环境风险受体敏感程度类型按照企业周边人口数进行划分。按照企业周边5公里或500米范围内人口数将大气环境风险受体敏感程度划分为类型1、类型2、类型3三种类型，分别以E1、E2和E3表示，见表6.1-6。</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表6.1-6 大气环境风险受体敏感程度类型划分</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725"/>
        <w:gridCol w:w="751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72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敏感程度类型</w:t>
            </w:r>
          </w:p>
        </w:tc>
        <w:tc>
          <w:tcPr>
            <w:tcW w:w="751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 xml:space="preserve">大 气 环 境 </w:t>
            </w:r>
            <w:r>
              <w:rPr>
                <w:rFonts w:hint="default" w:ascii="Times New Roman" w:hAnsi="Times New Roman" w:cs="Times New Roman"/>
                <w:color w:val="auto"/>
                <w:lang w:eastAsia="zh-CN"/>
              </w:rPr>
              <w:t>风险</w:t>
            </w:r>
            <w:r>
              <w:rPr>
                <w:rFonts w:hint="default" w:ascii="Times New Roman" w:hAnsi="Times New Roman" w:cs="Times New Roman"/>
                <w:color w:val="auto"/>
              </w:rPr>
              <w:t xml:space="preserve"> 受 体</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72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类型1</w:t>
            </w:r>
          </w:p>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rPr>
              <w:t>E1</w:t>
            </w:r>
            <w:r>
              <w:rPr>
                <w:rFonts w:hint="default" w:ascii="Times New Roman" w:hAnsi="Times New Roman" w:cs="Times New Roman"/>
                <w:color w:val="auto"/>
                <w:lang w:eastAsia="zh-CN"/>
              </w:rPr>
              <w:t>)</w:t>
            </w:r>
          </w:p>
        </w:tc>
        <w:tc>
          <w:tcPr>
            <w:tcW w:w="751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企业周边5公里范围内居住区、医疗卫生机构、文化教育机构、科研单位、行政机关、企事业单位、商场、公园等人口总数5万人以上，或企业周边500米范围内人口总数1000人以上，或企业周边5公里涉及军事禁区、军事管理区、国家相关保密区域</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72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类型2</w:t>
            </w:r>
          </w:p>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rPr>
              <w:t>E2</w:t>
            </w:r>
            <w:r>
              <w:rPr>
                <w:rFonts w:hint="default" w:ascii="Times New Roman" w:hAnsi="Times New Roman" w:cs="Times New Roman"/>
                <w:color w:val="auto"/>
                <w:lang w:eastAsia="zh-CN"/>
              </w:rPr>
              <w:t>)</w:t>
            </w:r>
          </w:p>
        </w:tc>
        <w:tc>
          <w:tcPr>
            <w:tcW w:w="751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企业周边5公里范围内居住区、医疗卫生机构、文化教育机构、科研单位、行政机关、企事业单位、商场、公园等人口总数1万人以上、5万人以下，或企业周边500米范围内人口总数500人以上、1000人以下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72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类型3</w:t>
            </w:r>
          </w:p>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rPr>
              <w:t>E3</w:t>
            </w:r>
            <w:r>
              <w:rPr>
                <w:rFonts w:hint="default" w:ascii="Times New Roman" w:hAnsi="Times New Roman" w:cs="Times New Roman"/>
                <w:color w:val="auto"/>
                <w:lang w:eastAsia="zh-CN"/>
              </w:rPr>
              <w:t>)</w:t>
            </w:r>
          </w:p>
        </w:tc>
        <w:tc>
          <w:tcPr>
            <w:tcW w:w="751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企业周边5公里范围内居住区、医疗卫生机构、文化教育机构、科研单位、行政机关、企事业单位、商场、公园等人口总数1万人以下，且企业周边500米范围内人口总数500人以下</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公司周边5km范围内人口合计约</w:t>
      </w:r>
      <w:r>
        <w:rPr>
          <w:rFonts w:hint="default" w:ascii="Times New Roman" w:hAnsi="Times New Roman" w:cs="Times New Roman"/>
          <w:color w:val="auto"/>
          <w:lang w:val="en-US" w:eastAsia="zh-CN"/>
        </w:rPr>
        <w:t>37943</w:t>
      </w:r>
      <w:r>
        <w:rPr>
          <w:rFonts w:hint="default" w:ascii="Times New Roman" w:hAnsi="Times New Roman" w:cs="Times New Roman"/>
          <w:bCs/>
          <w:color w:val="auto"/>
          <w:kern w:val="0"/>
          <w:highlight w:val="none"/>
          <w:lang w:eastAsia="zh-CN"/>
        </w:rPr>
        <w:t>人</w:t>
      </w:r>
      <w:r>
        <w:rPr>
          <w:rFonts w:hint="default" w:ascii="Times New Roman" w:hAnsi="Times New Roman" w:cs="Times New Roman"/>
          <w:bCs/>
          <w:color w:val="auto"/>
          <w:kern w:val="0"/>
          <w:highlight w:val="none"/>
        </w:rPr>
        <w:t>，500m范围内无大气环境风险受体，根据划分依据，本公司大气环境风险受体敏感程度为类型1，以E</w:t>
      </w:r>
      <w:r>
        <w:rPr>
          <w:rFonts w:hint="default" w:ascii="Times New Roman" w:hAnsi="Times New Roman" w:cs="Times New Roman"/>
          <w:bCs/>
          <w:color w:val="auto"/>
          <w:kern w:val="0"/>
          <w:highlight w:val="none"/>
          <w:lang w:val="en-US" w:eastAsia="zh-CN"/>
        </w:rPr>
        <w:t>2</w:t>
      </w:r>
      <w:r>
        <w:rPr>
          <w:rFonts w:hint="default" w:ascii="Times New Roman" w:hAnsi="Times New Roman" w:cs="Times New Roman"/>
          <w:bCs/>
          <w:color w:val="auto"/>
          <w:kern w:val="0"/>
          <w:highlight w:val="none"/>
        </w:rPr>
        <w:t>表示。</w:t>
      </w:r>
    </w:p>
    <w:p>
      <w:pPr>
        <w:pStyle w:val="5"/>
        <w:bidi w:val="0"/>
        <w:rPr>
          <w:rFonts w:hint="default" w:ascii="Times New Roman" w:hAnsi="Times New Roman" w:cs="Times New Roman"/>
          <w:color w:val="auto"/>
        </w:rPr>
        <w:sectPr>
          <w:pgSz w:w="11905" w:h="16838"/>
          <w:pgMar w:top="1417" w:right="1247" w:bottom="1417" w:left="1587" w:header="992" w:footer="680" w:gutter="0"/>
          <w:pgBorders>
            <w:top w:val="none" w:sz="0" w:space="0"/>
            <w:left w:val="none" w:sz="0" w:space="0"/>
            <w:bottom w:val="none" w:sz="0" w:space="0"/>
            <w:right w:val="none" w:sz="0" w:space="0"/>
          </w:pgBorders>
          <w:pgNumType w:fmt="decimal"/>
          <w:cols w:space="720" w:num="1"/>
          <w:titlePg/>
          <w:rtlGutter w:val="0"/>
          <w:docGrid w:type="lines" w:linePitch="333" w:charSpace="0"/>
        </w:sectPr>
      </w:pPr>
    </w:p>
    <w:p>
      <w:pPr>
        <w:pStyle w:val="5"/>
        <w:bidi w:val="0"/>
        <w:rPr>
          <w:rFonts w:hint="default" w:ascii="Times New Roman" w:hAnsi="Times New Roman" w:cs="Times New Roman"/>
          <w:color w:val="auto"/>
        </w:rPr>
      </w:pPr>
      <w:r>
        <w:rPr>
          <w:rFonts w:hint="default" w:ascii="Times New Roman" w:hAnsi="Times New Roman" w:cs="Times New Roman"/>
          <w:color w:val="auto"/>
        </w:rPr>
        <w:t>6.1.4 突发大气环境事件风险等级确定</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根据企业周边大气环境风险受体敏感程度</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E</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、涉气风险物质数量与临界量比值</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Q</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和生产工艺过程与大气环境风险控制水平</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M</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，按照表6.1-7确定企业突发大气环境事件风险等级。</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表6.1-7 企业突发大气环境事件风险分级矩阵表</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Layout w:type="fixed"/>
        <w:tblCellMar>
          <w:top w:w="0" w:type="dxa"/>
          <w:left w:w="108" w:type="dxa"/>
          <w:bottom w:w="0" w:type="dxa"/>
          <w:right w:w="108" w:type="dxa"/>
        </w:tblCellMar>
      </w:tblPr>
      <w:tblGrid>
        <w:gridCol w:w="1527"/>
        <w:gridCol w:w="1845"/>
        <w:gridCol w:w="1467"/>
        <w:gridCol w:w="1467"/>
        <w:gridCol w:w="1467"/>
        <w:gridCol w:w="146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CellMar>
            <w:top w:w="0" w:type="dxa"/>
            <w:left w:w="108" w:type="dxa"/>
            <w:bottom w:w="0" w:type="dxa"/>
            <w:right w:w="108" w:type="dxa"/>
          </w:tblCellMar>
        </w:tblPrEx>
        <w:trPr>
          <w:trHeight w:val="23" w:hRule="atLeast"/>
          <w:jc w:val="center"/>
        </w:trPr>
        <w:tc>
          <w:tcPr>
            <w:tcW w:w="1527" w:type="dxa"/>
            <w:vMerge w:val="restart"/>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环境风险受体敏感程度</w:t>
            </w:r>
            <w:r>
              <w:rPr>
                <w:rFonts w:hint="default" w:ascii="Times New Roman" w:hAnsi="Times New Roman" w:cs="Times New Roman"/>
                <w:color w:val="auto"/>
                <w:lang w:eastAsia="zh-CN"/>
              </w:rPr>
              <w:t>(</w:t>
            </w:r>
            <w:r>
              <w:rPr>
                <w:rFonts w:hint="default" w:ascii="Times New Roman" w:hAnsi="Times New Roman" w:cs="Times New Roman"/>
                <w:color w:val="auto"/>
              </w:rPr>
              <w:t>E</w:t>
            </w:r>
            <w:r>
              <w:rPr>
                <w:rFonts w:hint="default" w:ascii="Times New Roman" w:hAnsi="Times New Roman" w:cs="Times New Roman"/>
                <w:color w:val="auto"/>
                <w:lang w:eastAsia="zh-CN"/>
              </w:rPr>
              <w:t>)</w:t>
            </w:r>
          </w:p>
        </w:tc>
        <w:tc>
          <w:tcPr>
            <w:tcW w:w="1845" w:type="dxa"/>
            <w:vMerge w:val="restart"/>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风险物质数量与临界量比值</w:t>
            </w:r>
            <w:r>
              <w:rPr>
                <w:rFonts w:hint="default" w:ascii="Times New Roman" w:hAnsi="Times New Roman" w:cs="Times New Roman"/>
                <w:color w:val="auto"/>
                <w:lang w:eastAsia="zh-CN"/>
              </w:rPr>
              <w:t>(</w:t>
            </w:r>
            <w:r>
              <w:rPr>
                <w:rFonts w:hint="default" w:ascii="Times New Roman" w:hAnsi="Times New Roman" w:cs="Times New Roman"/>
                <w:color w:val="auto"/>
              </w:rPr>
              <w:t>Q</w:t>
            </w:r>
            <w:r>
              <w:rPr>
                <w:rFonts w:hint="default" w:ascii="Times New Roman" w:hAnsi="Times New Roman" w:cs="Times New Roman"/>
                <w:color w:val="auto"/>
                <w:lang w:eastAsia="zh-CN"/>
              </w:rPr>
              <w:t>)</w:t>
            </w:r>
          </w:p>
        </w:tc>
        <w:tc>
          <w:tcPr>
            <w:tcW w:w="5868" w:type="dxa"/>
            <w:gridSpan w:val="4"/>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生产工艺过程与环境风险控制水平</w:t>
            </w:r>
            <w:r>
              <w:rPr>
                <w:rFonts w:hint="default" w:ascii="Times New Roman" w:hAnsi="Times New Roman" w:cs="Times New Roman"/>
                <w:color w:val="auto"/>
                <w:lang w:eastAsia="zh-CN"/>
              </w:rPr>
              <w:t>(</w:t>
            </w:r>
            <w:r>
              <w:rPr>
                <w:rFonts w:hint="default" w:ascii="Times New Roman" w:hAnsi="Times New Roman" w:cs="Times New Roman"/>
                <w:color w:val="auto"/>
              </w:rPr>
              <w:t>M</w:t>
            </w:r>
            <w:r>
              <w:rPr>
                <w:rFonts w:hint="default" w:ascii="Times New Roman" w:hAnsi="Times New Roman" w:cs="Times New Roman"/>
                <w:color w:val="auto"/>
                <w:lang w:eastAsia="zh-CN"/>
              </w:rPr>
              <w:t xml:space="preserve">) </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CellMar>
            <w:top w:w="0" w:type="dxa"/>
            <w:left w:w="108" w:type="dxa"/>
            <w:bottom w:w="0" w:type="dxa"/>
            <w:right w:w="108" w:type="dxa"/>
          </w:tblCellMar>
        </w:tblPrEx>
        <w:trPr>
          <w:trHeight w:val="23" w:hRule="atLeast"/>
          <w:jc w:val="center"/>
        </w:trPr>
        <w:tc>
          <w:tcPr>
            <w:tcW w:w="1527" w:type="dxa"/>
            <w:vMerge w:val="continue"/>
            <w:shd w:val="clear" w:color="FFFFFF" w:themeColor="background1" w:fill="auto"/>
            <w:noWrap w:val="0"/>
            <w:vAlign w:val="center"/>
          </w:tcPr>
          <w:p>
            <w:pPr>
              <w:pStyle w:val="37"/>
              <w:bidi w:val="0"/>
              <w:rPr>
                <w:rFonts w:hint="default" w:ascii="Times New Roman" w:hAnsi="Times New Roman" w:cs="Times New Roman"/>
                <w:color w:val="auto"/>
              </w:rPr>
            </w:pPr>
          </w:p>
        </w:tc>
        <w:tc>
          <w:tcPr>
            <w:tcW w:w="1845" w:type="dxa"/>
            <w:vMerge w:val="continue"/>
            <w:shd w:val="clear" w:color="FFFFFF" w:themeColor="background1" w:fill="auto"/>
            <w:noWrap w:val="0"/>
            <w:vAlign w:val="center"/>
          </w:tcPr>
          <w:p>
            <w:pPr>
              <w:pStyle w:val="37"/>
              <w:bidi w:val="0"/>
              <w:rPr>
                <w:rFonts w:hint="default" w:ascii="Times New Roman" w:hAnsi="Times New Roman" w:cs="Times New Roman"/>
                <w:color w:val="auto"/>
              </w:rPr>
            </w:pP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M1类水平</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M2类水平</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M3类水平</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M4类水平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PrEx>
        <w:trPr>
          <w:trHeight w:val="23" w:hRule="atLeast"/>
          <w:jc w:val="center"/>
        </w:trPr>
        <w:tc>
          <w:tcPr>
            <w:tcW w:w="1527" w:type="dxa"/>
            <w:vMerge w:val="restart"/>
            <w:shd w:val="clear" w:color="FFFFFF" w:themeColor="background1" w:fill="auto"/>
            <w:noWrap w:val="0"/>
            <w:vAlign w:val="center"/>
          </w:tcPr>
          <w:p>
            <w:pPr>
              <w:pStyle w:val="37"/>
              <w:bidi w:val="0"/>
              <w:rPr>
                <w:rFonts w:hint="default" w:ascii="Times New Roman" w:hAnsi="Times New Roman" w:cs="Times New Roman"/>
                <w:color w:val="auto"/>
                <w:lang w:eastAsia="en-US"/>
              </w:rPr>
            </w:pPr>
            <w:r>
              <w:rPr>
                <w:rFonts w:hint="default" w:ascii="Times New Roman" w:hAnsi="Times New Roman" w:cs="Times New Roman"/>
                <w:color w:val="auto"/>
                <w:lang w:eastAsia="en-US"/>
              </w:rPr>
              <w:t>类型1</w:t>
            </w:r>
          </w:p>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eastAsia="en-US"/>
              </w:rPr>
              <w:t>E1</w:t>
            </w:r>
            <w:r>
              <w:rPr>
                <w:rFonts w:hint="default" w:ascii="Times New Roman" w:hAnsi="Times New Roman" w:cs="Times New Roman"/>
                <w:color w:val="auto"/>
                <w:lang w:eastAsia="zh-CN"/>
              </w:rPr>
              <w:t>)</w:t>
            </w:r>
          </w:p>
        </w:tc>
        <w:tc>
          <w:tcPr>
            <w:tcW w:w="1845" w:type="dxa"/>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1≤Q&lt;10</w:t>
            </w:r>
            <w:r>
              <w:rPr>
                <w:rFonts w:hint="default" w:ascii="Times New Roman" w:hAnsi="Times New Roman" w:cs="Times New Roman"/>
                <w:color w:val="auto"/>
                <w:lang w:eastAsia="zh-CN"/>
              </w:rPr>
              <w:t>(</w:t>
            </w:r>
            <w:r>
              <w:rPr>
                <w:rFonts w:hint="default" w:ascii="Times New Roman" w:hAnsi="Times New Roman" w:cs="Times New Roman"/>
                <w:color w:val="auto"/>
              </w:rPr>
              <w:t>Q1</w:t>
            </w:r>
            <w:r>
              <w:rPr>
                <w:rFonts w:hint="default" w:ascii="Times New Roman" w:hAnsi="Times New Roman" w:cs="Times New Roman"/>
                <w:color w:val="auto"/>
                <w:lang w:eastAsia="zh-CN"/>
              </w:rPr>
              <w:t>)</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CellMar>
            <w:top w:w="0" w:type="dxa"/>
            <w:left w:w="108" w:type="dxa"/>
            <w:bottom w:w="0" w:type="dxa"/>
            <w:right w:w="108" w:type="dxa"/>
          </w:tblCellMar>
        </w:tblPrEx>
        <w:trPr>
          <w:trHeight w:val="23" w:hRule="atLeast"/>
          <w:jc w:val="center"/>
        </w:trPr>
        <w:tc>
          <w:tcPr>
            <w:tcW w:w="1527" w:type="dxa"/>
            <w:vMerge w:val="continue"/>
            <w:shd w:val="clear" w:color="FFFFFF" w:themeColor="background1" w:fill="auto"/>
            <w:noWrap w:val="0"/>
            <w:vAlign w:val="center"/>
          </w:tcPr>
          <w:p>
            <w:pPr>
              <w:pStyle w:val="37"/>
              <w:bidi w:val="0"/>
              <w:rPr>
                <w:rFonts w:hint="default" w:ascii="Times New Roman" w:hAnsi="Times New Roman" w:cs="Times New Roman"/>
                <w:color w:val="auto"/>
              </w:rPr>
            </w:pPr>
          </w:p>
        </w:tc>
        <w:tc>
          <w:tcPr>
            <w:tcW w:w="1845" w:type="dxa"/>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10≤Q&lt;100</w:t>
            </w:r>
            <w:r>
              <w:rPr>
                <w:rFonts w:hint="default" w:ascii="Times New Roman" w:hAnsi="Times New Roman" w:cs="Times New Roman"/>
                <w:color w:val="auto"/>
                <w:lang w:eastAsia="zh-CN"/>
              </w:rPr>
              <w:t>(</w:t>
            </w:r>
            <w:r>
              <w:rPr>
                <w:rFonts w:hint="default" w:ascii="Times New Roman" w:hAnsi="Times New Roman" w:cs="Times New Roman"/>
                <w:color w:val="auto"/>
              </w:rPr>
              <w:t>Q2</w:t>
            </w:r>
            <w:r>
              <w:rPr>
                <w:rFonts w:hint="default" w:ascii="Times New Roman" w:hAnsi="Times New Roman" w:cs="Times New Roman"/>
                <w:color w:val="auto"/>
                <w:lang w:eastAsia="zh-CN"/>
              </w:rPr>
              <w:t>)</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b w:val="0"/>
                <w:bCs w:val="0"/>
                <w:color w:val="auto"/>
              </w:rPr>
              <w:t>较大</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PrEx>
        <w:trPr>
          <w:trHeight w:val="23" w:hRule="atLeast"/>
          <w:jc w:val="center"/>
        </w:trPr>
        <w:tc>
          <w:tcPr>
            <w:tcW w:w="1527" w:type="dxa"/>
            <w:vMerge w:val="continue"/>
            <w:shd w:val="clear" w:color="FFFFFF" w:themeColor="background1" w:fill="auto"/>
            <w:noWrap w:val="0"/>
            <w:vAlign w:val="center"/>
          </w:tcPr>
          <w:p>
            <w:pPr>
              <w:pStyle w:val="37"/>
              <w:bidi w:val="0"/>
              <w:rPr>
                <w:rFonts w:hint="default" w:ascii="Times New Roman" w:hAnsi="Times New Roman" w:cs="Times New Roman"/>
                <w:color w:val="auto"/>
              </w:rPr>
            </w:pPr>
          </w:p>
        </w:tc>
        <w:tc>
          <w:tcPr>
            <w:tcW w:w="1845" w:type="dxa"/>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Q≥100</w:t>
            </w:r>
            <w:r>
              <w:rPr>
                <w:rFonts w:hint="default" w:ascii="Times New Roman" w:hAnsi="Times New Roman" w:cs="Times New Roman"/>
                <w:color w:val="auto"/>
                <w:lang w:eastAsia="zh-CN"/>
              </w:rPr>
              <w:t>(</w:t>
            </w:r>
            <w:r>
              <w:rPr>
                <w:rFonts w:hint="default" w:ascii="Times New Roman" w:hAnsi="Times New Roman" w:cs="Times New Roman"/>
                <w:color w:val="auto"/>
              </w:rPr>
              <w:t>Q3</w:t>
            </w:r>
            <w:r>
              <w:rPr>
                <w:rFonts w:hint="default" w:ascii="Times New Roman" w:hAnsi="Times New Roman" w:cs="Times New Roman"/>
                <w:color w:val="auto"/>
                <w:lang w:eastAsia="zh-CN"/>
              </w:rPr>
              <w:t>)</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CellMar>
            <w:top w:w="0" w:type="dxa"/>
            <w:left w:w="108" w:type="dxa"/>
            <w:bottom w:w="0" w:type="dxa"/>
            <w:right w:w="108" w:type="dxa"/>
          </w:tblCellMar>
        </w:tblPrEx>
        <w:trPr>
          <w:trHeight w:val="23" w:hRule="atLeast"/>
          <w:jc w:val="center"/>
        </w:trPr>
        <w:tc>
          <w:tcPr>
            <w:tcW w:w="1527" w:type="dxa"/>
            <w:vMerge w:val="restart"/>
            <w:tcBorders>
              <w:top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lang w:eastAsia="en-US"/>
              </w:rPr>
            </w:pPr>
            <w:r>
              <w:rPr>
                <w:rFonts w:hint="default" w:ascii="Times New Roman" w:hAnsi="Times New Roman" w:cs="Times New Roman"/>
                <w:color w:val="auto"/>
                <w:lang w:eastAsia="en-US"/>
              </w:rPr>
              <w:t>类型2</w:t>
            </w:r>
          </w:p>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eastAsia="en-US"/>
              </w:rPr>
              <w:t>E2</w:t>
            </w:r>
            <w:r>
              <w:rPr>
                <w:rFonts w:hint="default" w:ascii="Times New Roman" w:hAnsi="Times New Roman" w:cs="Times New Roman"/>
                <w:color w:val="auto"/>
                <w:lang w:eastAsia="zh-CN"/>
              </w:rPr>
              <w:t>)</w:t>
            </w:r>
          </w:p>
        </w:tc>
        <w:tc>
          <w:tcPr>
            <w:tcW w:w="1845"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1≤Q&lt;10</w:t>
            </w:r>
            <w:r>
              <w:rPr>
                <w:rFonts w:hint="default" w:ascii="Times New Roman" w:hAnsi="Times New Roman" w:cs="Times New Roman"/>
                <w:color w:val="auto"/>
                <w:lang w:eastAsia="zh-CN"/>
              </w:rPr>
              <w:t>(</w:t>
            </w:r>
            <w:r>
              <w:rPr>
                <w:rFonts w:hint="default" w:ascii="Times New Roman" w:hAnsi="Times New Roman" w:cs="Times New Roman"/>
                <w:color w:val="auto"/>
              </w:rPr>
              <w:t>Q1</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一般</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CellMar>
            <w:top w:w="0" w:type="dxa"/>
            <w:left w:w="108" w:type="dxa"/>
            <w:bottom w:w="0" w:type="dxa"/>
            <w:right w:w="108" w:type="dxa"/>
          </w:tblCellMar>
        </w:tblPrEx>
        <w:trPr>
          <w:trHeight w:val="23" w:hRule="atLeast"/>
          <w:jc w:val="center"/>
        </w:trPr>
        <w:tc>
          <w:tcPr>
            <w:tcW w:w="1527" w:type="dxa"/>
            <w:vMerge w:val="continue"/>
            <w:tcBorders>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p>
        </w:tc>
        <w:tc>
          <w:tcPr>
            <w:tcW w:w="1845"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10≤Q&lt;100</w:t>
            </w:r>
            <w:r>
              <w:rPr>
                <w:rFonts w:hint="default" w:ascii="Times New Roman" w:hAnsi="Times New Roman" w:cs="Times New Roman"/>
                <w:color w:val="auto"/>
                <w:lang w:eastAsia="zh-CN"/>
              </w:rPr>
              <w:t>(</w:t>
            </w:r>
            <w:r>
              <w:rPr>
                <w:rFonts w:hint="default" w:ascii="Times New Roman" w:hAnsi="Times New Roman" w:cs="Times New Roman"/>
                <w:color w:val="auto"/>
              </w:rPr>
              <w:t>Q2</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shd w:val="solid" w:color="FFFFFF" w:themeColor="background1" w:fill="BEBEBE" w:themeFill="background1" w:themeFillShade="BF"/>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tcBorders>
              <w:top w:val="single" w:color="auto" w:sz="6" w:space="0"/>
              <w:left w:val="single" w:color="auto" w:sz="6" w:space="0"/>
              <w:bottom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CellMar>
            <w:top w:w="0" w:type="dxa"/>
            <w:left w:w="108" w:type="dxa"/>
            <w:bottom w:w="0" w:type="dxa"/>
            <w:right w:w="108" w:type="dxa"/>
          </w:tblCellMar>
        </w:tblPrEx>
        <w:trPr>
          <w:trHeight w:val="23" w:hRule="atLeast"/>
          <w:jc w:val="center"/>
        </w:trPr>
        <w:tc>
          <w:tcPr>
            <w:tcW w:w="1527" w:type="dxa"/>
            <w:vMerge w:val="continue"/>
            <w:tcBorders>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p>
        </w:tc>
        <w:tc>
          <w:tcPr>
            <w:tcW w:w="1845"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Q≥100</w:t>
            </w:r>
            <w:r>
              <w:rPr>
                <w:rFonts w:hint="default" w:ascii="Times New Roman" w:hAnsi="Times New Roman" w:cs="Times New Roman"/>
                <w:color w:val="auto"/>
                <w:lang w:eastAsia="zh-CN"/>
              </w:rPr>
              <w:t>(</w:t>
            </w:r>
            <w:r>
              <w:rPr>
                <w:rFonts w:hint="default" w:ascii="Times New Roman" w:hAnsi="Times New Roman" w:cs="Times New Roman"/>
                <w:color w:val="auto"/>
              </w:rPr>
              <w:t>Q3</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b w:val="0"/>
                <w:bCs w:val="0"/>
                <w:color w:val="auto"/>
              </w:rPr>
            </w:pPr>
            <w:r>
              <w:rPr>
                <w:rFonts w:hint="default" w:ascii="Times New Roman" w:hAnsi="Times New Roman" w:cs="Times New Roman"/>
                <w:b w:val="0"/>
                <w:bCs w:val="0"/>
                <w:color w:val="auto"/>
              </w:rPr>
              <w:t>较大</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tcBorders>
              <w:top w:val="single" w:color="auto" w:sz="6" w:space="0"/>
              <w:left w:val="single" w:color="auto" w:sz="6" w:space="0"/>
              <w:bottom w:val="single" w:color="auto" w:sz="6" w:space="0"/>
            </w:tcBorders>
            <w:shd w:val="clear" w:color="FFFFFF" w:themeColor="background1" w:fill="D7D7D7" w:themeFill="background1" w:themeFillShade="D8"/>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b/>
                <w:bCs/>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CellMar>
            <w:top w:w="0" w:type="dxa"/>
            <w:left w:w="108" w:type="dxa"/>
            <w:bottom w:w="0" w:type="dxa"/>
            <w:right w:w="108" w:type="dxa"/>
          </w:tblCellMar>
        </w:tblPrEx>
        <w:trPr>
          <w:trHeight w:val="23" w:hRule="atLeast"/>
          <w:jc w:val="center"/>
        </w:trPr>
        <w:tc>
          <w:tcPr>
            <w:tcW w:w="1527" w:type="dxa"/>
            <w:vMerge w:val="restart"/>
            <w:tcBorders>
              <w:top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lang w:eastAsia="en-US"/>
              </w:rPr>
            </w:pPr>
            <w:r>
              <w:rPr>
                <w:rFonts w:hint="default" w:ascii="Times New Roman" w:hAnsi="Times New Roman" w:cs="Times New Roman"/>
                <w:color w:val="auto"/>
                <w:lang w:eastAsia="en-US"/>
              </w:rPr>
              <w:t>类型3</w:t>
            </w:r>
          </w:p>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eastAsia="en-US"/>
              </w:rPr>
              <w:t>E3</w:t>
            </w:r>
            <w:r>
              <w:rPr>
                <w:rFonts w:hint="default" w:ascii="Times New Roman" w:hAnsi="Times New Roman" w:cs="Times New Roman"/>
                <w:color w:val="auto"/>
                <w:lang w:eastAsia="zh-CN"/>
              </w:rPr>
              <w:t>)</w:t>
            </w:r>
          </w:p>
        </w:tc>
        <w:tc>
          <w:tcPr>
            <w:tcW w:w="1845"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1≤Q&lt;10</w:t>
            </w:r>
            <w:r>
              <w:rPr>
                <w:rFonts w:hint="default" w:ascii="Times New Roman" w:hAnsi="Times New Roman" w:cs="Times New Roman"/>
                <w:color w:val="auto"/>
                <w:lang w:eastAsia="zh-CN"/>
              </w:rPr>
              <w:t>(</w:t>
            </w:r>
            <w:r>
              <w:rPr>
                <w:rFonts w:hint="default" w:ascii="Times New Roman" w:hAnsi="Times New Roman" w:cs="Times New Roman"/>
                <w:color w:val="auto"/>
              </w:rPr>
              <w:t>Q1</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b w:val="0"/>
                <w:bCs w:val="0"/>
                <w:color w:val="auto"/>
              </w:rPr>
            </w:pPr>
            <w:r>
              <w:rPr>
                <w:rFonts w:hint="default" w:ascii="Times New Roman" w:hAnsi="Times New Roman" w:cs="Times New Roman"/>
                <w:b w:val="0"/>
                <w:bCs w:val="0"/>
                <w:color w:val="auto"/>
              </w:rPr>
              <w:t>一般</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一般</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shd w:val="clear" w:color="FFFFFF" w:themeColor="background1" w:fill="auto"/>
          <w:tblCellMar>
            <w:top w:w="0" w:type="dxa"/>
            <w:left w:w="108" w:type="dxa"/>
            <w:bottom w:w="0" w:type="dxa"/>
            <w:right w:w="108" w:type="dxa"/>
          </w:tblCellMar>
        </w:tblPrEx>
        <w:trPr>
          <w:trHeight w:val="23" w:hRule="atLeast"/>
          <w:jc w:val="center"/>
        </w:trPr>
        <w:tc>
          <w:tcPr>
            <w:tcW w:w="1527" w:type="dxa"/>
            <w:vMerge w:val="continue"/>
            <w:tcBorders>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p>
        </w:tc>
        <w:tc>
          <w:tcPr>
            <w:tcW w:w="1845"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10≤Q&lt;100</w:t>
            </w:r>
            <w:r>
              <w:rPr>
                <w:rFonts w:hint="default" w:ascii="Times New Roman" w:hAnsi="Times New Roman" w:cs="Times New Roman"/>
                <w:color w:val="auto"/>
                <w:lang w:eastAsia="zh-CN"/>
              </w:rPr>
              <w:t>(</w:t>
            </w:r>
            <w:r>
              <w:rPr>
                <w:rFonts w:hint="default" w:ascii="Times New Roman" w:hAnsi="Times New Roman" w:cs="Times New Roman"/>
                <w:color w:val="auto"/>
              </w:rPr>
              <w:t>Q2</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一般</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continue"/>
            <w:tcBorders>
              <w:bottom w:val="single" w:color="auto" w:sz="12"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p>
        </w:tc>
        <w:tc>
          <w:tcPr>
            <w:tcW w:w="1845" w:type="dxa"/>
            <w:tcBorders>
              <w:top w:val="single" w:color="auto" w:sz="6" w:space="0"/>
              <w:left w:val="single" w:color="auto" w:sz="6" w:space="0"/>
              <w:bottom w:val="single" w:color="auto" w:sz="12"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Q≥100</w:t>
            </w:r>
            <w:r>
              <w:rPr>
                <w:rFonts w:hint="default" w:ascii="Times New Roman" w:hAnsi="Times New Roman" w:cs="Times New Roman"/>
                <w:color w:val="auto"/>
                <w:lang w:eastAsia="zh-CN"/>
              </w:rPr>
              <w:t>(</w:t>
            </w:r>
            <w:r>
              <w:rPr>
                <w:rFonts w:hint="default" w:ascii="Times New Roman" w:hAnsi="Times New Roman" w:cs="Times New Roman"/>
                <w:color w:val="auto"/>
              </w:rPr>
              <w:t>Q3</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12"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12"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12" w:space="0"/>
              <w:right w:val="single" w:color="auto" w:sz="6"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tcBorders>
              <w:top w:val="single" w:color="auto" w:sz="6" w:space="0"/>
              <w:left w:val="single" w:color="auto" w:sz="6" w:space="0"/>
              <w:bottom w:val="single" w:color="auto" w:sz="12" w:space="0"/>
            </w:tcBorders>
            <w:shd w:val="clear" w:color="FFFFFF" w:themeColor="background1" w:fill="auto"/>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本公司涉气风险物质数量与临界量比值以Q</w:t>
      </w:r>
      <w:r>
        <w:rPr>
          <w:rFonts w:hint="default" w:ascii="Times New Roman" w:hAnsi="Times New Roman" w:cs="Times New Roman"/>
          <w:bCs/>
          <w:color w:val="auto"/>
          <w:kern w:val="0"/>
          <w:highlight w:val="none"/>
          <w:lang w:val="en-US" w:eastAsia="zh-CN"/>
        </w:rPr>
        <w:t>3</w:t>
      </w:r>
      <w:r>
        <w:rPr>
          <w:rFonts w:hint="default" w:ascii="Times New Roman" w:hAnsi="Times New Roman" w:cs="Times New Roman"/>
          <w:bCs/>
          <w:color w:val="auto"/>
          <w:kern w:val="0"/>
          <w:highlight w:val="none"/>
          <w:lang w:eastAsia="zh-CN"/>
        </w:rPr>
        <w:t>(</w:t>
      </w:r>
      <w:r>
        <w:rPr>
          <w:rFonts w:hint="default" w:ascii="Times New Roman" w:hAnsi="Times New Roman" w:cs="Times New Roman"/>
          <w:sz w:val="24"/>
          <w:szCs w:val="28"/>
        </w:rPr>
        <w:t>Q≥100</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表示，生产工艺过程与大气环境风险控制水平为</w:t>
      </w:r>
      <w:r>
        <w:rPr>
          <w:rFonts w:hint="default" w:ascii="Times New Roman" w:hAnsi="Times New Roman" w:cs="Times New Roman"/>
          <w:bCs/>
          <w:color w:val="000000" w:themeColor="text1"/>
          <w:kern w:val="0"/>
          <w:highlight w:val="none"/>
          <w14:textFill>
            <w14:solidFill>
              <w14:schemeClr w14:val="tx1"/>
            </w14:solidFill>
          </w14:textFill>
        </w:rPr>
        <w:t>M</w:t>
      </w:r>
      <w:r>
        <w:rPr>
          <w:rFonts w:hint="eastAsia" w:cs="Times New Roman"/>
          <w:bCs/>
          <w:color w:val="000000" w:themeColor="text1"/>
          <w:kern w:val="0"/>
          <w:highlight w:val="none"/>
          <w:lang w:val="en-US" w:eastAsia="zh-CN"/>
          <w14:textFill>
            <w14:solidFill>
              <w14:schemeClr w14:val="tx1"/>
            </w14:solidFill>
          </w14:textFill>
        </w:rPr>
        <w:t>4</w:t>
      </w:r>
      <w:r>
        <w:rPr>
          <w:rFonts w:hint="default" w:ascii="Times New Roman" w:hAnsi="Times New Roman" w:cs="Times New Roman"/>
          <w:bCs/>
          <w:color w:val="auto"/>
          <w:kern w:val="0"/>
          <w:highlight w:val="none"/>
        </w:rPr>
        <w:t>，大气环境风险受体敏感程度以E</w:t>
      </w:r>
      <w:r>
        <w:rPr>
          <w:rFonts w:hint="default" w:ascii="Times New Roman" w:hAnsi="Times New Roman" w:cs="Times New Roman"/>
          <w:bCs/>
          <w:color w:val="auto"/>
          <w:kern w:val="0"/>
          <w:highlight w:val="none"/>
          <w:lang w:val="en-US" w:eastAsia="zh-CN"/>
        </w:rPr>
        <w:t>2</w:t>
      </w:r>
      <w:r>
        <w:rPr>
          <w:rFonts w:hint="default" w:ascii="Times New Roman" w:hAnsi="Times New Roman" w:cs="Times New Roman"/>
          <w:bCs/>
          <w:color w:val="auto"/>
          <w:kern w:val="0"/>
          <w:highlight w:val="none"/>
        </w:rPr>
        <w:t>表示，根据《企业突发环境事件风险分级方法》</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HJ941-2018</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，本公司突发大气环境事件风险等级为“</w:t>
      </w:r>
      <w:r>
        <w:rPr>
          <w:rFonts w:hint="default" w:ascii="Times New Roman" w:hAnsi="Times New Roman" w:cs="Times New Roman"/>
          <w:bCs/>
          <w:color w:val="auto"/>
          <w:kern w:val="0"/>
          <w:highlight w:val="none"/>
          <w:lang w:val="en-US" w:eastAsia="zh-CN"/>
        </w:rPr>
        <w:t>重</w:t>
      </w:r>
      <w:r>
        <w:rPr>
          <w:rFonts w:hint="default" w:ascii="Times New Roman" w:hAnsi="Times New Roman" w:cs="Times New Roman"/>
          <w:bCs/>
          <w:color w:val="auto"/>
          <w:kern w:val="0"/>
          <w:highlight w:val="none"/>
        </w:rPr>
        <w:t>大-大气</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Q</w:t>
      </w:r>
      <w:r>
        <w:rPr>
          <w:rFonts w:hint="default" w:ascii="Times New Roman" w:hAnsi="Times New Roman" w:cs="Times New Roman"/>
          <w:bCs/>
          <w:color w:val="auto"/>
          <w:kern w:val="0"/>
          <w:highlight w:val="none"/>
          <w:lang w:val="en-US" w:eastAsia="zh-CN"/>
        </w:rPr>
        <w:t>3</w:t>
      </w:r>
      <w:r>
        <w:rPr>
          <w:rFonts w:hint="default" w:ascii="Times New Roman" w:hAnsi="Times New Roman" w:cs="Times New Roman"/>
          <w:bCs/>
          <w:color w:val="auto"/>
          <w:kern w:val="0"/>
          <w:highlight w:val="none"/>
        </w:rPr>
        <w:t>-M</w:t>
      </w:r>
      <w:r>
        <w:rPr>
          <w:rFonts w:hint="eastAsia" w:cs="Times New Roman"/>
          <w:bCs/>
          <w:color w:val="auto"/>
          <w:kern w:val="0"/>
          <w:highlight w:val="none"/>
          <w:lang w:val="en-US" w:eastAsia="zh-CN"/>
        </w:rPr>
        <w:t>4</w:t>
      </w:r>
      <w:r>
        <w:rPr>
          <w:rFonts w:hint="default" w:ascii="Times New Roman" w:hAnsi="Times New Roman" w:cs="Times New Roman"/>
          <w:bCs/>
          <w:color w:val="auto"/>
          <w:kern w:val="0"/>
          <w:highlight w:val="none"/>
        </w:rPr>
        <w:t>-E</w:t>
      </w:r>
      <w:r>
        <w:rPr>
          <w:rFonts w:hint="default" w:ascii="Times New Roman" w:hAnsi="Times New Roman" w:cs="Times New Roman"/>
          <w:bCs/>
          <w:color w:val="auto"/>
          <w:kern w:val="0"/>
          <w:highlight w:val="none"/>
          <w:lang w:val="en-US" w:eastAsia="zh-CN"/>
        </w:rPr>
        <w:t>2</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w:t>
      </w:r>
    </w:p>
    <w:p>
      <w:pPr>
        <w:pStyle w:val="4"/>
        <w:bidi w:val="0"/>
        <w:rPr>
          <w:rFonts w:hint="default" w:ascii="Times New Roman" w:hAnsi="Times New Roman" w:cs="Times New Roman"/>
          <w:color w:val="auto"/>
        </w:rPr>
      </w:pPr>
      <w:bookmarkStart w:id="154" w:name="_Toc29268"/>
      <w:r>
        <w:rPr>
          <w:rFonts w:hint="default" w:ascii="Times New Roman" w:hAnsi="Times New Roman" w:cs="Times New Roman"/>
          <w:color w:val="auto"/>
        </w:rPr>
        <w:t xml:space="preserve">6.2 </w:t>
      </w:r>
      <w:bookmarkEnd w:id="150"/>
      <w:r>
        <w:rPr>
          <w:rFonts w:hint="default" w:ascii="Times New Roman" w:hAnsi="Times New Roman" w:cs="Times New Roman"/>
          <w:color w:val="auto"/>
        </w:rPr>
        <w:t>突发水事件环境风险等级</w:t>
      </w:r>
      <w:bookmarkEnd w:id="151"/>
      <w:bookmarkEnd w:id="154"/>
    </w:p>
    <w:p>
      <w:pPr>
        <w:bidi w:val="0"/>
        <w:rPr>
          <w:rFonts w:hint="default" w:ascii="Times New Roman" w:hAnsi="Times New Roman" w:cs="Times New Roman"/>
          <w:color w:val="auto"/>
        </w:rPr>
      </w:pPr>
      <w:r>
        <w:rPr>
          <w:rFonts w:hint="default" w:ascii="Times New Roman" w:hAnsi="Times New Roman" w:cs="Times New Roman"/>
          <w:color w:val="auto"/>
        </w:rPr>
        <w:t>计算所有涉水风险物质与临界量的比值</w:t>
      </w:r>
      <w:r>
        <w:rPr>
          <w:rFonts w:hint="default" w:ascii="Times New Roman" w:hAnsi="Times New Roman" w:cs="Times New Roman"/>
          <w:color w:val="auto"/>
          <w:lang w:eastAsia="zh-CN"/>
        </w:rPr>
        <w:t>(</w:t>
      </w:r>
      <w:r>
        <w:rPr>
          <w:rFonts w:hint="default" w:ascii="Times New Roman" w:hAnsi="Times New Roman" w:cs="Times New Roman"/>
          <w:color w:val="auto"/>
        </w:rPr>
        <w:t>Q</w:t>
      </w:r>
      <w:r>
        <w:rPr>
          <w:rFonts w:hint="default" w:ascii="Times New Roman" w:hAnsi="Times New Roman" w:cs="Times New Roman"/>
          <w:color w:val="auto"/>
          <w:lang w:eastAsia="zh-CN"/>
        </w:rPr>
        <w:t>)</w:t>
      </w:r>
      <w:r>
        <w:rPr>
          <w:rFonts w:hint="default" w:ascii="Times New Roman" w:hAnsi="Times New Roman" w:cs="Times New Roman"/>
          <w:color w:val="auto"/>
        </w:rPr>
        <w:t>，计算公式如下：</w:t>
      </w:r>
    </w:p>
    <w:p>
      <w:pPr>
        <w:bidi w:val="0"/>
        <w:rPr>
          <w:rFonts w:hint="default" w:ascii="Times New Roman" w:hAnsi="Times New Roman" w:cs="Times New Roman"/>
          <w:color w:val="auto"/>
        </w:rPr>
      </w:pPr>
      <m:oMathPara>
        <m:oMath>
          <m:r>
            <m:rPr>
              <m:sty m:val="p"/>
            </m:rPr>
            <w:rPr>
              <w:rFonts w:hint="default" w:ascii="Cambria Math" w:hAnsi="Cambria Math" w:cs="Times New Roman"/>
              <w:color w:val="auto"/>
            </w:rPr>
            <m:t>Q=</m:t>
          </m:r>
          <m:f>
            <m:fPr>
              <m:ctrlPr>
                <w:rPr>
                  <w:rFonts w:hint="default" w:ascii="Cambria Math" w:hAnsi="Cambria Math" w:cs="Times New Roman"/>
                  <w:color w:val="auto"/>
                </w:rPr>
              </m:ctrlPr>
            </m:fPr>
            <m:num>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1</m:t>
                  </m:r>
                  <m:ctrlPr>
                    <w:rPr>
                      <w:rFonts w:hint="default" w:ascii="Cambria Math" w:hAnsi="Cambria Math" w:cs="Times New Roman"/>
                      <w:color w:val="auto"/>
                    </w:rPr>
                  </m:ctrlPr>
                </m:sub>
              </m:sSub>
              <m:ctrlPr>
                <w:rPr>
                  <w:rFonts w:hint="default" w:ascii="Cambria Math" w:hAnsi="Cambria Math" w:cs="Times New Roman"/>
                  <w:color w:val="auto"/>
                </w:rPr>
              </m:ctrlPr>
            </m:num>
            <m:den>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1</m:t>
                  </m:r>
                  <m:ctrlPr>
                    <w:rPr>
                      <w:rFonts w:hint="default" w:ascii="Cambria Math" w:hAnsi="Cambria Math" w:cs="Times New Roman"/>
                      <w:color w:val="auto"/>
                    </w:rPr>
                  </m:ctrlPr>
                </m:sub>
              </m:sSub>
              <m:ctrlPr>
                <w:rPr>
                  <w:rFonts w:hint="default" w:ascii="Cambria Math" w:hAnsi="Cambria Math" w:cs="Times New Roman"/>
                  <w:color w:val="auto"/>
                </w:rPr>
              </m:ctrlPr>
            </m:den>
          </m:f>
          <m:r>
            <m:rPr>
              <m:sty m:val="p"/>
            </m:rPr>
            <w:rPr>
              <w:rFonts w:hint="default" w:ascii="Cambria Math" w:hAnsi="Cambria Math" w:cs="Times New Roman"/>
              <w:color w:val="auto"/>
            </w:rPr>
            <m:t>+</m:t>
          </m:r>
          <m:f>
            <m:fPr>
              <m:ctrlPr>
                <w:rPr>
                  <w:rFonts w:hint="default" w:ascii="Cambria Math" w:hAnsi="Cambria Math" w:cs="Times New Roman"/>
                  <w:color w:val="auto"/>
                </w:rPr>
              </m:ctrlPr>
            </m:fPr>
            <m:num>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2</m:t>
                  </m:r>
                  <m:ctrlPr>
                    <w:rPr>
                      <w:rFonts w:hint="default" w:ascii="Cambria Math" w:hAnsi="Cambria Math" w:cs="Times New Roman"/>
                      <w:color w:val="auto"/>
                    </w:rPr>
                  </m:ctrlPr>
                </m:sub>
              </m:sSub>
              <m:ctrlPr>
                <w:rPr>
                  <w:rFonts w:hint="default" w:ascii="Cambria Math" w:hAnsi="Cambria Math" w:cs="Times New Roman"/>
                  <w:color w:val="auto"/>
                </w:rPr>
              </m:ctrlPr>
            </m:num>
            <m:den>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2</m:t>
                  </m:r>
                  <m:ctrlPr>
                    <w:rPr>
                      <w:rFonts w:hint="default" w:ascii="Cambria Math" w:hAnsi="Cambria Math" w:cs="Times New Roman"/>
                      <w:color w:val="auto"/>
                    </w:rPr>
                  </m:ctrlPr>
                </m:sub>
              </m:sSub>
              <m:ctrlPr>
                <w:rPr>
                  <w:rFonts w:hint="default" w:ascii="Cambria Math" w:hAnsi="Cambria Math" w:cs="Times New Roman"/>
                  <w:color w:val="auto"/>
                </w:rPr>
              </m:ctrlPr>
            </m:den>
          </m:f>
          <m:r>
            <m:rPr>
              <m:sty m:val="p"/>
            </m:rPr>
            <w:rPr>
              <w:rFonts w:hint="default" w:ascii="Cambria Math" w:hAnsi="Cambria Math" w:cs="Times New Roman"/>
              <w:color w:val="auto"/>
            </w:rPr>
            <m:t>+⋯+</m:t>
          </m:r>
          <m:f>
            <m:fPr>
              <m:ctrlPr>
                <w:rPr>
                  <w:rFonts w:hint="default" w:ascii="Cambria Math" w:hAnsi="Cambria Math" w:cs="Times New Roman"/>
                  <w:color w:val="auto"/>
                </w:rPr>
              </m:ctrlPr>
            </m:fPr>
            <m:num>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n</m:t>
                  </m:r>
                  <m:ctrlPr>
                    <w:rPr>
                      <w:rFonts w:hint="default" w:ascii="Cambria Math" w:hAnsi="Cambria Math" w:cs="Times New Roman"/>
                      <w:color w:val="auto"/>
                    </w:rPr>
                  </m:ctrlPr>
                </m:sub>
              </m:sSub>
              <m:ctrlPr>
                <w:rPr>
                  <w:rFonts w:hint="default" w:ascii="Cambria Math" w:hAnsi="Cambria Math" w:cs="Times New Roman"/>
                  <w:color w:val="auto"/>
                </w:rPr>
              </m:ctrlPr>
            </m:num>
            <m:den>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n</m:t>
                  </m:r>
                  <m:ctrlPr>
                    <w:rPr>
                      <w:rFonts w:hint="default" w:ascii="Cambria Math" w:hAnsi="Cambria Math" w:cs="Times New Roman"/>
                      <w:color w:val="auto"/>
                    </w:rPr>
                  </m:ctrlPr>
                </m:sub>
              </m:sSub>
              <m:ctrlPr>
                <w:rPr>
                  <w:rFonts w:hint="default" w:ascii="Cambria Math" w:hAnsi="Cambria Math" w:cs="Times New Roman"/>
                  <w:color w:val="auto"/>
                </w:rPr>
              </m:ctrlPr>
            </m:den>
          </m:f>
        </m:oMath>
      </m:oMathPara>
    </w:p>
    <w:p>
      <w:pPr>
        <w:bidi w:val="0"/>
        <w:rPr>
          <w:rFonts w:hint="default" w:ascii="Times New Roman" w:hAnsi="Times New Roman" w:cs="Times New Roman"/>
          <w:color w:val="auto"/>
        </w:rPr>
      </w:pPr>
      <w:r>
        <w:rPr>
          <w:rFonts w:hint="default" w:ascii="Times New Roman" w:hAnsi="Times New Roman" w:cs="Times New Roman"/>
          <w:color w:val="auto"/>
        </w:rPr>
        <w:t>式中：</w:t>
      </w:r>
      <m:oMath>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1</m:t>
            </m:r>
            <m:ctrlPr>
              <w:rPr>
                <w:rFonts w:hint="default" w:ascii="Cambria Math" w:hAnsi="Cambria Math" w:cs="Times New Roman"/>
                <w:color w:val="auto"/>
              </w:rPr>
            </m:ctrlPr>
          </m:sub>
        </m:sSub>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2</m:t>
            </m:r>
            <m:ctrlPr>
              <w:rPr>
                <w:rFonts w:hint="default" w:ascii="Cambria Math" w:hAnsi="Cambria Math" w:cs="Times New Roman"/>
                <w:color w:val="auto"/>
              </w:rPr>
            </m:ctrlPr>
          </m:sub>
        </m:sSub>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m:t>
        </m:r>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n</m:t>
            </m:r>
            <m:ctrlPr>
              <w:rPr>
                <w:rFonts w:hint="default" w:ascii="Cambria Math" w:hAnsi="Cambria Math" w:cs="Times New Roman"/>
                <w:color w:val="auto"/>
              </w:rPr>
            </m:ctrlPr>
          </m:sub>
        </m:sSub>
      </m:oMath>
      <w:r>
        <w:rPr>
          <w:rFonts w:hint="default" w:ascii="Times New Roman" w:hAnsi="Times New Roman" w:cs="Times New Roman"/>
          <w:color w:val="auto"/>
        </w:rPr>
        <w:t>——每种风险物质的存在量，t；</w:t>
      </w:r>
    </w:p>
    <w:p>
      <w:pPr>
        <w:bidi w:val="0"/>
        <w:rPr>
          <w:rFonts w:hint="default" w:ascii="Times New Roman" w:hAnsi="Times New Roman" w:cs="Times New Roman"/>
          <w:color w:val="auto"/>
        </w:rPr>
      </w:pPr>
      <m:oMath>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1</m:t>
            </m:r>
            <m:ctrlPr>
              <w:rPr>
                <w:rFonts w:hint="default" w:ascii="Cambria Math" w:hAnsi="Cambria Math" w:cs="Times New Roman"/>
                <w:color w:val="auto"/>
              </w:rPr>
            </m:ctrlPr>
          </m:sub>
        </m:sSub>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2</m:t>
            </m:r>
            <m:ctrlPr>
              <w:rPr>
                <w:rFonts w:hint="default" w:ascii="Cambria Math" w:hAnsi="Cambria Math" w:cs="Times New Roman"/>
                <w:color w:val="auto"/>
              </w:rPr>
            </m:ctrlPr>
          </m:sub>
        </m:sSub>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oMath>
      <w:r>
        <w:rPr>
          <w:rFonts w:hint="default" w:ascii="Times New Roman" w:hAnsi="Times New Roman" w:cs="Times New Roman"/>
          <w:color w:val="auto"/>
          <w:lang w:eastAsia="zh-CN"/>
        </w:rPr>
        <w:t>，</w:t>
      </w:r>
      <m:oMath>
        <m:r>
          <m:rPr>
            <m:sty m:val="p"/>
          </m:rPr>
          <w:rPr>
            <w:rFonts w:hint="default" w:ascii="Cambria Math" w:hAnsi="Cambria Math" w:cs="Times New Roman"/>
            <w:color w:val="auto"/>
          </w:rPr>
          <m:t xml:space="preserve"> </m:t>
        </m:r>
        <m:sSub>
          <m:sSubPr>
            <m:ctrlPr>
              <w:rPr>
                <w:rFonts w:hint="default" w:ascii="Cambria Math" w:hAnsi="Cambria Math" w:cs="Times New Roman"/>
                <w:color w:val="auto"/>
              </w:rPr>
            </m:ctrlPr>
          </m:sSubPr>
          <m:e>
            <m:r>
              <m:rPr>
                <m:sty m:val="p"/>
              </m:rPr>
              <w:rPr>
                <w:rFonts w:hint="default" w:ascii="Cambria Math" w:hAnsi="Cambria Math" w:cs="Times New Roman"/>
                <w:color w:val="auto"/>
              </w:rPr>
              <m:t>W</m:t>
            </m:r>
            <m:ctrlPr>
              <w:rPr>
                <w:rFonts w:hint="default" w:ascii="Cambria Math" w:hAnsi="Cambria Math" w:cs="Times New Roman"/>
                <w:color w:val="auto"/>
              </w:rPr>
            </m:ctrlPr>
          </m:e>
          <m:sub>
            <m:r>
              <m:rPr>
                <m:sty m:val="p"/>
              </m:rPr>
              <w:rPr>
                <w:rFonts w:hint="default" w:ascii="Cambria Math" w:hAnsi="Cambria Math" w:cs="Times New Roman"/>
                <w:color w:val="auto"/>
              </w:rPr>
              <m:t>n</m:t>
            </m:r>
            <m:ctrlPr>
              <w:rPr>
                <w:rFonts w:hint="default" w:ascii="Cambria Math" w:hAnsi="Cambria Math" w:cs="Times New Roman"/>
                <w:color w:val="auto"/>
              </w:rPr>
            </m:ctrlPr>
          </m:sub>
        </m:sSub>
      </m:oMath>
      <w:r>
        <w:rPr>
          <w:rFonts w:hint="default" w:ascii="Times New Roman" w:hAnsi="Times New Roman" w:cs="Times New Roman"/>
          <w:color w:val="auto"/>
        </w:rPr>
        <w:t>——每种风险物质的临界量，t。</w:t>
      </w:r>
    </w:p>
    <w:p>
      <w:pPr>
        <w:bidi w:val="0"/>
        <w:rPr>
          <w:rFonts w:hint="default" w:ascii="Times New Roman" w:hAnsi="Times New Roman" w:cs="Times New Roman"/>
          <w:color w:val="auto"/>
        </w:rPr>
      </w:pPr>
      <w:r>
        <w:rPr>
          <w:rFonts w:hint="default" w:ascii="Times New Roman" w:hAnsi="Times New Roman" w:cs="Times New Roman"/>
          <w:color w:val="auto"/>
        </w:rPr>
        <w:t>按照数值大小，将Q划分为4个水平：</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Q＜1，以Q0表示，企业直接评为一般环境风险等级；</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1≤Q＜10，以Q1表示；</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10≤Q＜100，以Q2表示；</w:t>
      </w:r>
    </w:p>
    <w:p>
      <w:pPr>
        <w:bidi w:val="0"/>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4</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Q≥100，以Q3表示。</w:t>
      </w:r>
    </w:p>
    <w:p>
      <w:pPr>
        <w:bidi w:val="0"/>
        <w:rPr>
          <w:rFonts w:hint="default" w:ascii="Times New Roman" w:hAnsi="Times New Roman" w:cs="Times New Roman"/>
          <w:color w:val="auto"/>
        </w:rPr>
      </w:pPr>
      <w:r>
        <w:rPr>
          <w:rFonts w:hint="default" w:ascii="Times New Roman" w:hAnsi="Times New Roman" w:cs="Times New Roman"/>
          <w:color w:val="auto"/>
          <w:lang w:eastAsia="zh-CN"/>
        </w:rPr>
        <w:t>山东省润泰新材料有限公司</w:t>
      </w:r>
      <w:r>
        <w:rPr>
          <w:rFonts w:hint="default" w:ascii="Times New Roman" w:hAnsi="Times New Roman" w:cs="Times New Roman"/>
          <w:color w:val="auto"/>
        </w:rPr>
        <w:t>厂区内所有涉水风险物质与附录A《突发环境事件风险物质及临界量清单》对照情况见表6.2-1。</w:t>
      </w:r>
    </w:p>
    <w:p>
      <w:pPr>
        <w:bidi w:val="0"/>
        <w:ind w:left="0" w:leftChars="0" w:right="0" w:rightChars="0" w:firstLine="0" w:firstLineChars="0"/>
        <w:jc w:val="center"/>
        <w:rPr>
          <w:rFonts w:hint="default" w:ascii="Times New Roman" w:hAnsi="Times New Roman" w:eastAsia="黑体" w:cs="Times New Roman"/>
          <w:color w:val="auto"/>
        </w:rPr>
      </w:pPr>
      <w:r>
        <w:rPr>
          <w:rFonts w:hint="default" w:ascii="Times New Roman" w:hAnsi="Times New Roman" w:eastAsia="黑体" w:cs="Times New Roman"/>
          <w:color w:val="auto"/>
        </w:rPr>
        <w:t>表6.2-1 涉水环境风险物质与临界量的比值结果</w:t>
      </w:r>
    </w:p>
    <w:tbl>
      <w:tblPr>
        <w:tblStyle w:val="2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70"/>
        <w:gridCol w:w="1730"/>
        <w:gridCol w:w="3616"/>
        <w:gridCol w:w="16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物质名称</w:t>
            </w:r>
          </w:p>
        </w:tc>
        <w:tc>
          <w:tcPr>
            <w:tcW w:w="937"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临界量Q</w:t>
            </w:r>
          </w:p>
        </w:tc>
        <w:tc>
          <w:tcPr>
            <w:tcW w:w="1958"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最大贮存</w:t>
            </w:r>
            <w:r>
              <w:rPr>
                <w:rFonts w:hint="default" w:ascii="Times New Roman" w:hAnsi="Times New Roman" w:cs="Times New Roman"/>
                <w:color w:val="auto"/>
              </w:rPr>
              <w:t>量q</w:t>
            </w:r>
          </w:p>
        </w:tc>
        <w:tc>
          <w:tcPr>
            <w:tcW w:w="874"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rPr>
              <w:t>qi/Qi</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rPr>
            </w:pPr>
            <w:r>
              <w:rPr>
                <w:rFonts w:hint="default" w:ascii="Times New Roman" w:hAnsi="Times New Roman" w:cs="Times New Roman"/>
                <w:color w:val="auto"/>
                <w:lang w:val="en-US" w:eastAsia="zh-CN"/>
              </w:rPr>
              <w:t>37% 甲醛</w:t>
            </w:r>
          </w:p>
        </w:tc>
        <w:tc>
          <w:tcPr>
            <w:tcW w:w="937"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eastAsia="宋体" w:cs="Times New Roman"/>
                <w:color w:val="auto"/>
                <w:lang w:val="en-US" w:eastAsia="zh-CN"/>
              </w:rPr>
            </w:pPr>
            <w:r>
              <w:rPr>
                <w:rFonts w:hint="eastAsia" w:cs="Times New Roman"/>
                <w:color w:val="auto"/>
                <w:lang w:val="en-US" w:eastAsia="zh-CN"/>
              </w:rPr>
              <w:t>50</w:t>
            </w:r>
          </w:p>
        </w:tc>
        <w:tc>
          <w:tcPr>
            <w:tcW w:w="3616"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296（800t折纯）</w:t>
            </w:r>
          </w:p>
        </w:tc>
        <w:tc>
          <w:tcPr>
            <w:tcW w:w="1618"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5.92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29"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甲醇</w:t>
            </w:r>
          </w:p>
        </w:tc>
        <w:tc>
          <w:tcPr>
            <w:tcW w:w="937" w:type="pct"/>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3616"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3600</w:t>
            </w:r>
          </w:p>
        </w:tc>
        <w:tc>
          <w:tcPr>
            <w:tcW w:w="1618" w:type="dxa"/>
            <w:tcBorders>
              <w:tl2br w:val="nil"/>
              <w:tr2bl w:val="nil"/>
            </w:tcBorders>
            <w:noWrap w:val="0"/>
            <w:tcMar>
              <w:top w:w="57" w:type="dxa"/>
              <w:left w:w="85" w:type="dxa"/>
              <w:bottom w:w="57" w:type="dxa"/>
              <w:right w:w="85" w:type="dxa"/>
            </w:tcMar>
            <w:vAlign w:val="center"/>
          </w:tcPr>
          <w:p>
            <w:pPr>
              <w:pStyle w:val="6"/>
              <w:bidi w:val="0"/>
              <w:ind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4"/>
            <w:tcBorders>
              <w:tl2br w:val="nil"/>
              <w:tr2bl w:val="nil"/>
            </w:tcBorders>
            <w:noWrap w:val="0"/>
            <w:tcMar>
              <w:top w:w="57" w:type="dxa"/>
              <w:left w:w="85" w:type="dxa"/>
              <w:bottom w:w="57" w:type="dxa"/>
              <w:right w:w="85" w:type="dxa"/>
            </w:tcMar>
            <w:vAlign w:val="center"/>
          </w:tcPr>
          <w:p>
            <w:pPr>
              <w:pStyle w:val="6"/>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Σqi/Qi=</w:t>
            </w:r>
            <w:r>
              <w:rPr>
                <w:rFonts w:hint="eastAsia" w:cs="Times New Roman"/>
                <w:color w:val="auto"/>
                <w:lang w:val="en-US" w:eastAsia="zh-CN"/>
              </w:rPr>
              <w:t>365.92</w:t>
            </w:r>
            <w:r>
              <w:rPr>
                <w:rFonts w:hint="default" w:ascii="Times New Roman" w:hAnsi="Times New Roman" w:cs="Times New Roman"/>
                <w:color w:val="auto"/>
              </w:rPr>
              <w:t>≥100</w:t>
            </w:r>
          </w:p>
        </w:tc>
      </w:tr>
    </w:tbl>
    <w:p>
      <w:pPr>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根据计算结果，本公司涉</w:t>
      </w:r>
      <w:r>
        <w:rPr>
          <w:rFonts w:hint="default" w:ascii="Times New Roman" w:hAnsi="Times New Roman" w:cs="Times New Roman"/>
          <w:color w:val="auto"/>
          <w:lang w:val="en-US" w:eastAsia="zh-CN"/>
        </w:rPr>
        <w:t>水</w:t>
      </w:r>
      <w:r>
        <w:rPr>
          <w:rFonts w:hint="default" w:ascii="Times New Roman" w:hAnsi="Times New Roman" w:cs="Times New Roman"/>
          <w:color w:val="auto"/>
        </w:rPr>
        <w:t>风险物质数量与临界量比值Q为</w:t>
      </w:r>
      <w:r>
        <w:rPr>
          <w:rFonts w:hint="eastAsia" w:cs="Times New Roman"/>
          <w:color w:val="auto"/>
          <w:lang w:val="en-US" w:eastAsia="zh-CN"/>
        </w:rPr>
        <w:t>365.92</w:t>
      </w:r>
      <w:r>
        <w:rPr>
          <w:rFonts w:hint="default" w:ascii="Times New Roman" w:hAnsi="Times New Roman" w:cs="Times New Roman"/>
          <w:color w:val="auto"/>
        </w:rPr>
        <w:t>，</w:t>
      </w:r>
      <w:r>
        <w:rPr>
          <w:rFonts w:hint="default" w:ascii="Times New Roman" w:hAnsi="Times New Roman" w:cs="Times New Roman"/>
          <w:color w:val="auto"/>
          <w:sz w:val="24"/>
          <w:szCs w:val="28"/>
        </w:rPr>
        <w:t>Q≥100</w:t>
      </w:r>
      <w:r>
        <w:rPr>
          <w:rFonts w:hint="default" w:ascii="Times New Roman" w:hAnsi="Times New Roman" w:cs="Times New Roman"/>
          <w:color w:val="auto"/>
        </w:rPr>
        <w:t>，以Q</w:t>
      </w:r>
      <w:r>
        <w:rPr>
          <w:rFonts w:hint="default" w:ascii="Times New Roman" w:hAnsi="Times New Roman" w:cs="Times New Roman"/>
          <w:color w:val="auto"/>
          <w:lang w:val="en-US" w:eastAsia="zh-CN"/>
        </w:rPr>
        <w:t>3</w:t>
      </w:r>
      <w:r>
        <w:rPr>
          <w:rFonts w:hint="default" w:ascii="Times New Roman" w:hAnsi="Times New Roman" w:cs="Times New Roman"/>
          <w:color w:val="auto"/>
        </w:rPr>
        <w:t>表示。</w:t>
      </w:r>
    </w:p>
    <w:p>
      <w:pPr>
        <w:pStyle w:val="5"/>
        <w:bidi w:val="0"/>
        <w:rPr>
          <w:rFonts w:hint="default" w:ascii="Times New Roman" w:hAnsi="Times New Roman" w:cs="Times New Roman"/>
          <w:color w:val="auto"/>
          <w:lang w:eastAsia="zh-CN"/>
        </w:rPr>
      </w:pPr>
      <w:r>
        <w:rPr>
          <w:rFonts w:hint="default" w:ascii="Times New Roman" w:hAnsi="Times New Roman" w:cs="Times New Roman"/>
          <w:color w:val="auto"/>
        </w:rPr>
        <w:t>6.2.2 生产工艺过程与水环境风险控制水平</w:t>
      </w:r>
      <w:r>
        <w:rPr>
          <w:rFonts w:hint="default" w:ascii="Times New Roman" w:hAnsi="Times New Roman" w:cs="Times New Roman"/>
          <w:color w:val="auto"/>
          <w:lang w:eastAsia="zh-CN"/>
        </w:rPr>
        <w:t>(</w:t>
      </w:r>
      <w:r>
        <w:rPr>
          <w:rFonts w:hint="default" w:ascii="Times New Roman" w:hAnsi="Times New Roman" w:cs="Times New Roman"/>
          <w:color w:val="auto"/>
        </w:rPr>
        <w:t>M</w:t>
      </w:r>
      <w:r>
        <w:rPr>
          <w:rFonts w:hint="default" w:ascii="Times New Roman" w:hAnsi="Times New Roman" w:cs="Times New Roman"/>
          <w:color w:val="auto"/>
          <w:lang w:eastAsia="zh-CN"/>
        </w:rPr>
        <w:t xml:space="preserve">) </w:t>
      </w:r>
    </w:p>
    <w:p>
      <w:pPr>
        <w:bidi w:val="0"/>
        <w:rPr>
          <w:rFonts w:hint="default" w:ascii="Times New Roman" w:hAnsi="Times New Roman" w:cs="Times New Roman"/>
          <w:b/>
          <w:bCs/>
          <w:color w:val="auto"/>
        </w:rPr>
      </w:pPr>
      <w:r>
        <w:rPr>
          <w:rFonts w:hint="default" w:ascii="Times New Roman" w:hAnsi="Times New Roman" w:cs="Times New Roman"/>
          <w:b/>
          <w:bCs/>
          <w:color w:val="auto"/>
        </w:rPr>
        <w:t>6.2.2.1 生产工艺过程含有风险工艺和设备情况</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结合公司生产工艺及相应生产设备，通过对公司所有产品的工艺过程进行完整识别，公司生产工艺的评分情况见表6.2-2。</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表6.2-2 企业生产工艺过程评估</w:t>
      </w:r>
    </w:p>
    <w:tbl>
      <w:tblPr>
        <w:tblStyle w:val="29"/>
        <w:tblW w:w="924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731"/>
        <w:gridCol w:w="1091"/>
        <w:gridCol w:w="1323"/>
        <w:gridCol w:w="109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73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  估  依  据</w:t>
            </w:r>
          </w:p>
        </w:tc>
        <w:tc>
          <w:tcPr>
            <w:tcW w:w="109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分 值</w:t>
            </w:r>
          </w:p>
        </w:tc>
        <w:tc>
          <w:tcPr>
            <w:tcW w:w="132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企业情况</w:t>
            </w:r>
          </w:p>
        </w:tc>
        <w:tc>
          <w:tcPr>
            <w:tcW w:w="109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评估分值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73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涉及光气及光气化工艺、电解工艺</w:t>
            </w:r>
            <w:r>
              <w:rPr>
                <w:rFonts w:hint="default" w:ascii="Times New Roman" w:hAnsi="Times New Roman" w:cs="Times New Roman"/>
                <w:color w:val="auto"/>
                <w:lang w:eastAsia="zh-CN"/>
              </w:rPr>
              <w:t>(</w:t>
            </w:r>
            <w:r>
              <w:rPr>
                <w:rFonts w:hint="default" w:ascii="Times New Roman" w:hAnsi="Times New Roman" w:cs="Times New Roman"/>
                <w:color w:val="auto"/>
              </w:rPr>
              <w:t>氯碱</w:t>
            </w:r>
            <w:r>
              <w:rPr>
                <w:rFonts w:hint="default" w:ascii="Times New Roman" w:hAnsi="Times New Roman" w:cs="Times New Roman"/>
                <w:color w:val="auto"/>
                <w:lang w:eastAsia="zh-CN"/>
              </w:rPr>
              <w:t>)</w:t>
            </w:r>
            <w:r>
              <w:rPr>
                <w:rFonts w:hint="default" w:ascii="Times New Roman" w:hAnsi="Times New Roman" w:cs="Times New Roman"/>
                <w:color w:val="auto"/>
              </w:rPr>
              <w:t>、氯化工艺、硝化工艺、合成氨工艺、裂解</w:t>
            </w:r>
            <w:r>
              <w:rPr>
                <w:rFonts w:hint="default" w:ascii="Times New Roman" w:hAnsi="Times New Roman" w:cs="Times New Roman"/>
                <w:color w:val="auto"/>
                <w:lang w:eastAsia="zh-CN"/>
              </w:rPr>
              <w:t>(</w:t>
            </w:r>
            <w:r>
              <w:rPr>
                <w:rFonts w:hint="default" w:ascii="Times New Roman" w:hAnsi="Times New Roman" w:cs="Times New Roman"/>
                <w:color w:val="auto"/>
              </w:rPr>
              <w:t>裂化</w:t>
            </w:r>
            <w:r>
              <w:rPr>
                <w:rFonts w:hint="default" w:ascii="Times New Roman" w:hAnsi="Times New Roman" w:cs="Times New Roman"/>
                <w:color w:val="auto"/>
                <w:lang w:eastAsia="zh-CN"/>
              </w:rPr>
              <w:t>)</w:t>
            </w:r>
            <w:r>
              <w:rPr>
                <w:rFonts w:hint="default" w:ascii="Times New Roman" w:hAnsi="Times New Roman" w:cs="Times New Roman"/>
                <w:color w:val="auto"/>
              </w:rPr>
              <w:t>工艺、氟化工艺、加氢工艺、重氮化工艺、氧化工艺、过氧化工艺、胺基化工艺、磺化工艺、聚合工艺、烷基化工艺、新型煤化工工艺、电石生产工艺、偶氮化工艺</w:t>
            </w:r>
          </w:p>
        </w:tc>
        <w:tc>
          <w:tcPr>
            <w:tcW w:w="109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10/每套</w:t>
            </w:r>
          </w:p>
        </w:tc>
        <w:tc>
          <w:tcPr>
            <w:tcW w:w="1323" w:type="dxa"/>
            <w:noWrap w:val="0"/>
            <w:vAlign w:val="center"/>
          </w:tcPr>
          <w:p>
            <w:pPr>
              <w:pStyle w:val="3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氧化工艺</w:t>
            </w:r>
            <w:r>
              <w:rPr>
                <w:rFonts w:hint="default" w:ascii="Times New Roman" w:hAnsi="Times New Roman" w:cs="Times New Roman"/>
                <w:color w:val="auto"/>
                <w:lang w:val="en-US" w:eastAsia="zh-CN"/>
              </w:rPr>
              <w:t>4套</w:t>
            </w:r>
          </w:p>
        </w:tc>
        <w:tc>
          <w:tcPr>
            <w:tcW w:w="1097" w:type="dxa"/>
            <w:noWrap w:val="0"/>
            <w:vAlign w:val="center"/>
          </w:tcPr>
          <w:p>
            <w:pPr>
              <w:pStyle w:val="3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73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其他高温或高压、涉及易燃易爆等物质的工艺过程a</w:t>
            </w:r>
          </w:p>
        </w:tc>
        <w:tc>
          <w:tcPr>
            <w:tcW w:w="109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5/每套</w:t>
            </w:r>
          </w:p>
        </w:tc>
        <w:tc>
          <w:tcPr>
            <w:tcW w:w="132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w:t>
            </w:r>
          </w:p>
        </w:tc>
        <w:tc>
          <w:tcPr>
            <w:tcW w:w="109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73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具有国家规定限期淘汰的工艺名录和设备b</w:t>
            </w:r>
          </w:p>
        </w:tc>
        <w:tc>
          <w:tcPr>
            <w:tcW w:w="109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5/每套</w:t>
            </w:r>
          </w:p>
        </w:tc>
        <w:tc>
          <w:tcPr>
            <w:tcW w:w="132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w:t>
            </w:r>
          </w:p>
        </w:tc>
        <w:tc>
          <w:tcPr>
            <w:tcW w:w="109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73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不涉及以上危险工艺过程或国家规定的禁用工艺/设备</w:t>
            </w:r>
          </w:p>
        </w:tc>
        <w:tc>
          <w:tcPr>
            <w:tcW w:w="1091"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1323"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w:t>
            </w:r>
          </w:p>
        </w:tc>
        <w:tc>
          <w:tcPr>
            <w:tcW w:w="109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8145" w:type="dxa"/>
            <w:gridSpan w:val="3"/>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合计</w:t>
            </w:r>
          </w:p>
        </w:tc>
        <w:tc>
          <w:tcPr>
            <w:tcW w:w="109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lang w:val="en-US" w:eastAsia="zh-CN"/>
              </w:rPr>
              <w:t>40</w:t>
            </w:r>
          </w:p>
        </w:tc>
      </w:tr>
    </w:tbl>
    <w:p>
      <w:pPr>
        <w:widowControl/>
        <w:adjustRightInd w:val="0"/>
        <w:snapToGrid w:val="0"/>
        <w:spacing w:line="276" w:lineRule="auto"/>
        <w:jc w:val="left"/>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val="0"/>
          <w:color w:val="auto"/>
          <w:kern w:val="0"/>
          <w:sz w:val="21"/>
          <w:szCs w:val="21"/>
          <w:highlight w:val="none"/>
        </w:rPr>
        <w:t>注：a高温指工艺温度≥300℃，高压指压力容器的设计压力</w:t>
      </w:r>
      <w:r>
        <w:rPr>
          <w:rFonts w:hint="default" w:ascii="Times New Roman" w:hAnsi="Times New Roman" w:cs="Times New Roman"/>
          <w:snapToGrid w:val="0"/>
          <w:color w:val="auto"/>
          <w:kern w:val="0"/>
          <w:sz w:val="21"/>
          <w:szCs w:val="21"/>
          <w:highlight w:val="none"/>
          <w:lang w:eastAsia="zh-CN"/>
        </w:rPr>
        <w:t>(</w:t>
      </w:r>
      <w:r>
        <w:rPr>
          <w:rFonts w:hint="default" w:ascii="Times New Roman" w:hAnsi="Times New Roman" w:cs="Times New Roman"/>
          <w:snapToGrid w:val="0"/>
          <w:color w:val="auto"/>
          <w:kern w:val="0"/>
          <w:sz w:val="21"/>
          <w:szCs w:val="21"/>
          <w:highlight w:val="none"/>
        </w:rPr>
        <w:t>p</w:t>
      </w:r>
      <w:r>
        <w:rPr>
          <w:rFonts w:hint="default" w:ascii="Times New Roman" w:hAnsi="Times New Roman" w:cs="Times New Roman"/>
          <w:snapToGrid w:val="0"/>
          <w:color w:val="auto"/>
          <w:kern w:val="0"/>
          <w:sz w:val="21"/>
          <w:szCs w:val="21"/>
          <w:highlight w:val="none"/>
          <w:lang w:eastAsia="zh-CN"/>
        </w:rPr>
        <w:t xml:space="preserve">) </w:t>
      </w:r>
      <w:r>
        <w:rPr>
          <w:rFonts w:hint="default" w:ascii="Times New Roman" w:hAnsi="Times New Roman" w:cs="Times New Roman"/>
          <w:snapToGrid w:val="0"/>
          <w:color w:val="auto"/>
          <w:kern w:val="0"/>
          <w:sz w:val="21"/>
          <w:szCs w:val="21"/>
          <w:highlight w:val="none"/>
        </w:rPr>
        <w:t>≥10.0MPa，易燃易爆等物质是指按照GB30000.2至GB30000.13所确定的化学物质；b指《产业结构调整指导目录》中有淘汰期限的淘汰类落后生产工艺装备。</w:t>
      </w:r>
    </w:p>
    <w:p>
      <w:pPr>
        <w:bidi w:val="0"/>
        <w:rPr>
          <w:rFonts w:hint="default" w:ascii="Times New Roman" w:hAnsi="Times New Roman" w:cs="Times New Roman"/>
          <w:b/>
          <w:bCs/>
          <w:color w:val="auto"/>
        </w:rPr>
      </w:pPr>
      <w:r>
        <w:rPr>
          <w:rFonts w:hint="default" w:ascii="Times New Roman" w:hAnsi="Times New Roman" w:cs="Times New Roman"/>
          <w:b/>
          <w:bCs/>
          <w:color w:val="auto"/>
        </w:rPr>
        <w:t>6.2.2.2 水环境风险防控措施及突发水环境事件发生情况</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结合公司现有水环境风险防控措施及突发水环境事件发生情况，公司评分情况见表6.2-3。</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FF0000"/>
          <w:highlight w:val="none"/>
        </w:rPr>
        <w:sectPr>
          <w:pgSz w:w="11905" w:h="16838"/>
          <w:pgMar w:top="1417" w:right="1247" w:bottom="1417" w:left="1587" w:header="992" w:footer="680" w:gutter="0"/>
          <w:pgBorders>
            <w:top w:val="none" w:sz="0" w:space="0"/>
            <w:left w:val="none" w:sz="0" w:space="0"/>
            <w:bottom w:val="none" w:sz="0" w:space="0"/>
            <w:right w:val="none" w:sz="0" w:space="0"/>
          </w:pgBorders>
          <w:pgNumType w:fmt="decimal"/>
          <w:cols w:space="720" w:num="1"/>
          <w:titlePg/>
          <w:rtlGutter w:val="0"/>
          <w:docGrid w:type="lines" w:linePitch="333" w:charSpace="0"/>
        </w:sectPr>
      </w:pP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表6.2-3 企业水环境风险防控措施及突发水环境事件发生情况</w:t>
      </w:r>
    </w:p>
    <w:tbl>
      <w:tblPr>
        <w:tblStyle w:val="29"/>
        <w:tblW w:w="911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94"/>
        <w:gridCol w:w="4473"/>
        <w:gridCol w:w="763"/>
        <w:gridCol w:w="2359"/>
        <w:gridCol w:w="52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tblHeader/>
          <w:jc w:val="center"/>
        </w:trPr>
        <w:tc>
          <w:tcPr>
            <w:tcW w:w="994"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评估</w:t>
            </w:r>
          </w:p>
          <w:p>
            <w:pPr>
              <w:pStyle w:val="37"/>
              <w:bidi w:val="0"/>
              <w:rPr>
                <w:rFonts w:hint="default" w:ascii="Times New Roman" w:hAnsi="Times New Roman" w:cs="Times New Roman"/>
                <w:color w:val="auto"/>
              </w:rPr>
            </w:pPr>
            <w:r>
              <w:rPr>
                <w:rFonts w:hint="default" w:ascii="Times New Roman" w:hAnsi="Times New Roman" w:cs="Times New Roman"/>
                <w:color w:val="auto"/>
              </w:rPr>
              <w:t>指标</w:t>
            </w:r>
          </w:p>
        </w:tc>
        <w:tc>
          <w:tcPr>
            <w:tcW w:w="4473" w:type="dxa"/>
            <w:noWrap w:val="0"/>
            <w:tcMar>
              <w:top w:w="0" w:type="dxa"/>
              <w:left w:w="51" w:type="dxa"/>
              <w:bottom w:w="0" w:type="dxa"/>
              <w:right w:w="51" w:type="dxa"/>
            </w:tcMar>
            <w:vAlign w:val="center"/>
          </w:tcPr>
          <w:p>
            <w:pPr>
              <w:pStyle w:val="37"/>
              <w:bidi w:val="0"/>
              <w:jc w:val="center"/>
              <w:rPr>
                <w:rFonts w:hint="default" w:ascii="Times New Roman" w:hAnsi="Times New Roman" w:cs="Times New Roman"/>
                <w:color w:val="auto"/>
              </w:rPr>
            </w:pPr>
            <w:r>
              <w:rPr>
                <w:rFonts w:hint="default" w:ascii="Times New Roman" w:hAnsi="Times New Roman" w:cs="Times New Roman"/>
                <w:color w:val="auto"/>
              </w:rPr>
              <w:t>评  估  依  据</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分值</w:t>
            </w:r>
          </w:p>
        </w:tc>
        <w:tc>
          <w:tcPr>
            <w:tcW w:w="2359"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企业情况</w:t>
            </w:r>
          </w:p>
        </w:tc>
        <w:tc>
          <w:tcPr>
            <w:tcW w:w="529"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评估分值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截流措施</w:t>
            </w: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各个环境风险单元设防渗漏、防腐蚀、防淋溶、防流失措施，设防初期 雨水、泄漏物、受污染的消防水（溢）流入雨水和清净下水系统的导流 围挡收集措施（如防火堤、围堰等），且相关措施符合设计规范；</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装置围堰与罐区防火堤</w:t>
            </w:r>
            <w:r>
              <w:rPr>
                <w:rFonts w:hint="default" w:ascii="Times New Roman" w:hAnsi="Times New Roman" w:cs="Times New Roman"/>
                <w:color w:val="auto"/>
                <w:lang w:eastAsia="zh-CN"/>
              </w:rPr>
              <w:t>(</w:t>
            </w:r>
            <w:r>
              <w:rPr>
                <w:rFonts w:hint="default" w:ascii="Times New Roman" w:hAnsi="Times New Roman" w:cs="Times New Roman"/>
                <w:color w:val="auto"/>
              </w:rPr>
              <w:t>围堰</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外设排水切换阀，正常情况下通向雨水系统的阀门关闭，通向事故存液池、应急事故水池、清净废水排放缓冲池或污水处理系统的阀门打</w:t>
            </w:r>
            <w:r>
              <w:rPr>
                <w:rFonts w:hint="default" w:ascii="Times New Roman" w:hAnsi="Times New Roman" w:cs="Times New Roman"/>
                <w:color w:val="auto"/>
                <w:lang w:val="en-US" w:eastAsia="zh-CN"/>
              </w:rPr>
              <w:t>开</w:t>
            </w:r>
            <w:r>
              <w:rPr>
                <w:rFonts w:hint="default" w:ascii="Times New Roman" w:hAnsi="Times New Roman" w:cs="Times New Roman"/>
                <w:color w:val="auto"/>
              </w:rPr>
              <w:t>；</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前述措施日常管理及维护良好，有专人负责阀门切换或设置自动切换设施保证初期雨水、泄漏物和受污染的消防水排入污水系统</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235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各风险单元均设置防渗漏、防腐蚀、防淋溶措施；原料罐区设围堰，车间</w:t>
            </w:r>
            <w:r>
              <w:rPr>
                <w:rFonts w:hint="default" w:ascii="Times New Roman" w:hAnsi="Times New Roman" w:cs="Times New Roman"/>
                <w:color w:val="auto"/>
                <w:lang w:eastAsia="zh-CN"/>
              </w:rPr>
              <w:t>及罐区围堰</w:t>
            </w:r>
            <w:r>
              <w:rPr>
                <w:rFonts w:hint="default" w:ascii="Times New Roman" w:hAnsi="Times New Roman" w:cs="Times New Roman"/>
                <w:color w:val="auto"/>
              </w:rPr>
              <w:t>内设有导流沟，与事故水池相连；有专人负责阀门开关</w:t>
            </w:r>
          </w:p>
        </w:tc>
        <w:tc>
          <w:tcPr>
            <w:tcW w:w="52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有任意一个环境风险单元</w:t>
            </w:r>
            <w:r>
              <w:rPr>
                <w:rFonts w:hint="default" w:ascii="Times New Roman" w:hAnsi="Times New Roman" w:cs="Times New Roman"/>
                <w:color w:val="auto"/>
                <w:lang w:eastAsia="zh-CN"/>
              </w:rPr>
              <w:t>(</w:t>
            </w:r>
            <w:r>
              <w:rPr>
                <w:rFonts w:hint="default" w:ascii="Times New Roman" w:hAnsi="Times New Roman" w:cs="Times New Roman"/>
                <w:color w:val="auto"/>
              </w:rPr>
              <w:t>包括可能发生液体泄漏或产生液体泄漏物的危险废物贮存场所</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的截流措施不符合上述任意一条要求的</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8</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事故废水收集措施</w:t>
            </w: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按相关设计规范设置应急事故水池、事故存液池或清净废水排放缓冲池等事故排水收集设施，并根据相关设计规范、下游环境风险受体敏感程度和易发生极端天气情况，设计事故排水收集设施的容量；</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确保事故排水收集设施在事故状态下能顺利收集泄漏物和消防水，日常保持足够的事故排水缓冲容量；</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通过协议单位或自建管线，能将所收集废水送至厂区内污水处理设施处理</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235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lang w:val="en-US" w:eastAsia="zh-CN"/>
              </w:rPr>
              <w:t>一期工程</w:t>
            </w:r>
            <w:r>
              <w:rPr>
                <w:rFonts w:hint="default" w:ascii="Times New Roman" w:hAnsi="Times New Roman" w:cs="Times New Roman"/>
                <w:color w:val="auto"/>
              </w:rPr>
              <w:t>设置</w:t>
            </w:r>
            <w:r>
              <w:rPr>
                <w:rFonts w:hint="default" w:ascii="Times New Roman" w:hAnsi="Times New Roman" w:cs="Times New Roman"/>
                <w:color w:val="auto"/>
                <w:lang w:val="en-US" w:eastAsia="zh-CN"/>
              </w:rPr>
              <w:t>1</w:t>
            </w:r>
            <w:r>
              <w:rPr>
                <w:rFonts w:hint="default" w:ascii="Times New Roman" w:hAnsi="Times New Roman" w:cs="Times New Roman"/>
                <w:color w:val="auto"/>
              </w:rPr>
              <w:t>座事故水池</w:t>
            </w:r>
            <w:r>
              <w:rPr>
                <w:rFonts w:hint="default" w:ascii="Times New Roman" w:hAnsi="Times New Roman" w:cs="Times New Roman"/>
                <w:color w:val="auto"/>
                <w:lang w:eastAsia="zh-CN"/>
              </w:rPr>
              <w:t>（</w:t>
            </w:r>
            <w:r>
              <w:rPr>
                <w:rFonts w:hint="default" w:ascii="Times New Roman" w:hAnsi="Times New Roman" w:cs="Times New Roman"/>
                <w:color w:val="auto"/>
              </w:rPr>
              <w:t>容积为</w:t>
            </w:r>
            <w:r>
              <w:rPr>
                <w:rFonts w:hint="default" w:ascii="Times New Roman" w:hAnsi="Times New Roman" w:cs="Times New Roman"/>
                <w:color w:val="auto"/>
                <w:lang w:val="en-US" w:eastAsia="zh-CN"/>
              </w:rPr>
              <w:t>2600m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rPr>
              <w:t>，容量满足要求；设计事故水池位置合理，事故废水顺着厂区坡度流入厂区内雨水管网，通过阀门、泵控制事故废水沿雨水管网流至事故池</w:t>
            </w:r>
          </w:p>
        </w:tc>
        <w:tc>
          <w:tcPr>
            <w:tcW w:w="52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有任意一个环境风险单元</w:t>
            </w:r>
            <w:r>
              <w:rPr>
                <w:rFonts w:hint="default" w:ascii="Times New Roman" w:hAnsi="Times New Roman" w:cs="Times New Roman"/>
                <w:color w:val="auto"/>
                <w:lang w:eastAsia="zh-CN"/>
              </w:rPr>
              <w:t>(</w:t>
            </w:r>
            <w:r>
              <w:rPr>
                <w:rFonts w:hint="default" w:ascii="Times New Roman" w:hAnsi="Times New Roman" w:cs="Times New Roman"/>
                <w:color w:val="auto"/>
              </w:rPr>
              <w:t>包括可能发生液体泄漏或产生液体泄漏物的危险废物贮存场所</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的事故排水收集措施不符合上述任意一条要求的</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8</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清净废水系统风险防控措施</w:t>
            </w: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不涉及清净废水；</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厂区内清净废水均可排入废水处理系统；或清污分流，且清净废水系统具有下述所有措施：</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rPr>
              <w:t>①具有收集受污染的清净废水的缓冲池</w:t>
            </w:r>
            <w:r>
              <w:rPr>
                <w:rFonts w:hint="default" w:ascii="Times New Roman" w:hAnsi="Times New Roman" w:cs="Times New Roman"/>
                <w:color w:val="auto"/>
                <w:lang w:eastAsia="zh-CN"/>
              </w:rPr>
              <w:t>(</w:t>
            </w:r>
            <w:r>
              <w:rPr>
                <w:rFonts w:hint="default" w:ascii="Times New Roman" w:hAnsi="Times New Roman" w:cs="Times New Roman"/>
                <w:color w:val="auto"/>
              </w:rPr>
              <w:t>或收集池</w:t>
            </w:r>
            <w:r>
              <w:rPr>
                <w:rFonts w:hint="default" w:ascii="Times New Roman" w:hAnsi="Times New Roman" w:cs="Times New Roman"/>
                <w:color w:val="auto"/>
                <w:lang w:eastAsia="zh-CN"/>
              </w:rPr>
              <w:t>)</w:t>
            </w:r>
            <w:r>
              <w:rPr>
                <w:rFonts w:hint="default" w:ascii="Times New Roman" w:hAnsi="Times New Roman" w:cs="Times New Roman"/>
                <w:color w:val="auto"/>
              </w:rPr>
              <w:t>，池内日常保持足够的事故排水缓冲容量；池内设有提升设施或通过自流，能将所收集物送至厂区内污水处理设施处理；且</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rPr>
              <w:t>②具有清净废水系统的总排口监视及关闭设施，有专人负责在紧急情况下关闭清净废水总排口，防止受污染的清净废水和泄漏物进入外环境</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235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不涉及清净废水</w:t>
            </w:r>
          </w:p>
        </w:tc>
        <w:tc>
          <w:tcPr>
            <w:tcW w:w="52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涉及清净废水，有任意一个环境风险单元的清净废水系统风险防控措施不符合上述</w:t>
            </w: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要求的</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8</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雨水排水系统风险防控措施</w:t>
            </w: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厂区内雨水均进入废水处理系统；或雨污分流，且雨水排水系统具有下述所有措施：</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rPr>
              <w:t>①具有收集初期雨水的收集池或雨水监控池；池出水管上设置切断阀，正常情况下阀门关闭，防止受污染的雨水外排；池内设有提升设施或通过自流，能将所收集物送至厂区内污水处理设施处理；</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rPr>
              <w:t>②有雨水系统总排口</w:t>
            </w:r>
            <w:r>
              <w:rPr>
                <w:rFonts w:hint="default" w:ascii="Times New Roman" w:hAnsi="Times New Roman" w:cs="Times New Roman"/>
                <w:color w:val="auto"/>
                <w:lang w:eastAsia="zh-CN"/>
              </w:rPr>
              <w:t>(</w:t>
            </w:r>
            <w:r>
              <w:rPr>
                <w:rFonts w:hint="default" w:ascii="Times New Roman" w:hAnsi="Times New Roman" w:cs="Times New Roman"/>
                <w:color w:val="auto"/>
              </w:rPr>
              <w:t>含泄洪渠</w:t>
            </w:r>
            <w:r>
              <w:rPr>
                <w:rFonts w:hint="default" w:ascii="Times New Roman" w:hAnsi="Times New Roman" w:cs="Times New Roman"/>
                <w:color w:val="auto"/>
                <w:lang w:eastAsia="zh-CN"/>
              </w:rPr>
              <w:t>)</w:t>
            </w:r>
            <w:r>
              <w:rPr>
                <w:rFonts w:hint="default" w:ascii="Times New Roman" w:hAnsi="Times New Roman" w:cs="Times New Roman"/>
                <w:color w:val="auto"/>
              </w:rPr>
              <w:t>监视及关闭设施，在紧急情况下有专人负责关闭雨水系统总排口</w:t>
            </w:r>
            <w:r>
              <w:rPr>
                <w:rFonts w:hint="default" w:ascii="Times New Roman" w:hAnsi="Times New Roman" w:cs="Times New Roman"/>
                <w:color w:val="auto"/>
                <w:lang w:eastAsia="zh-CN"/>
              </w:rPr>
              <w:t>(</w:t>
            </w:r>
            <w:r>
              <w:rPr>
                <w:rFonts w:hint="default" w:ascii="Times New Roman" w:hAnsi="Times New Roman" w:cs="Times New Roman"/>
                <w:color w:val="auto"/>
              </w:rPr>
              <w:t>含与清净废水共用一套排水系统情况</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，防止雨水、消防水和泄漏物进入外环境</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如果有排洪沟，排洪沟不得通过生产区和罐区，或具有防止泄漏物和受污染的消防水等流入区域排洪沟的措施</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235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①具有收集初期雨水的收集池；池出水管上设置切断阀，正常情况下阀门关闭，防止受污染的雨水外排；池内设有提升设施，能将所收集物送至厂区内污水处理设施处理；②具有雨水系统总排口</w:t>
            </w:r>
            <w:r>
              <w:rPr>
                <w:rFonts w:hint="default" w:ascii="Times New Roman" w:hAnsi="Times New Roman" w:cs="Times New Roman"/>
                <w:color w:val="auto"/>
                <w:lang w:val="en-US" w:eastAsia="zh-CN"/>
              </w:rPr>
              <w:t>截流</w:t>
            </w:r>
            <w:r>
              <w:rPr>
                <w:rFonts w:hint="default" w:ascii="Times New Roman" w:hAnsi="Times New Roman" w:cs="Times New Roman"/>
                <w:color w:val="auto"/>
              </w:rPr>
              <w:t>设施，在紧急情况下有专人负责关闭雨水系统总排口，防止雨水、消防水和泄漏物进入外环境</w:t>
            </w:r>
          </w:p>
        </w:tc>
        <w:tc>
          <w:tcPr>
            <w:tcW w:w="529" w:type="dxa"/>
            <w:vMerge w:val="restart"/>
            <w:noWrap w:val="0"/>
            <w:tcMar>
              <w:top w:w="0" w:type="dxa"/>
              <w:left w:w="51" w:type="dxa"/>
              <w:bottom w:w="0" w:type="dxa"/>
              <w:right w:w="51" w:type="dxa"/>
            </w:tcMar>
            <w:vAlign w:val="center"/>
          </w:tcPr>
          <w:p>
            <w:pPr>
              <w:pStyle w:val="37"/>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不符合上述要求的</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8</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生产废水处理系统风险防控措施</w:t>
            </w: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无生产废水产生或外排；或</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有废水外排时：</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rPr>
              <w:t>①受污染的循环冷却水、雨水、消防水等排入生产废水系统或独立处理系统</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rPr>
              <w:t>②生产废水排放前设监控池，能够将不合格废水送废水处理设施处理；</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rPr>
              <w:t>③如企业受污染的清净废水或雨水进入废水处理系统处理，则废水处理系统应设置事故水缓冲设施；</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rPr>
              <w:t>④具有生产废水总排口监视及关闭设施，有专人负责启闭，确保泄漏物、受污染的消防水、不合格废水不排出厂外</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235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无生产废水产生或外排</w:t>
            </w:r>
          </w:p>
        </w:tc>
        <w:tc>
          <w:tcPr>
            <w:tcW w:w="529" w:type="dxa"/>
            <w:vMerge w:val="restart"/>
            <w:noWrap w:val="0"/>
            <w:tcMar>
              <w:top w:w="0" w:type="dxa"/>
              <w:left w:w="51" w:type="dxa"/>
              <w:bottom w:w="0" w:type="dxa"/>
              <w:right w:w="51" w:type="dxa"/>
            </w:tcMar>
            <w:vAlign w:val="center"/>
          </w:tcPr>
          <w:p>
            <w:pPr>
              <w:pStyle w:val="37"/>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涉及废水外排，且不符合上述</w:t>
            </w: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中任意一条要求的</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8</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废水排放去向</w:t>
            </w: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无生产废水产生或外排</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0</w:t>
            </w:r>
          </w:p>
        </w:tc>
        <w:tc>
          <w:tcPr>
            <w:tcW w:w="235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无生产废水产生或外排</w:t>
            </w:r>
          </w:p>
        </w:tc>
        <w:tc>
          <w:tcPr>
            <w:tcW w:w="529" w:type="dxa"/>
            <w:vMerge w:val="restart"/>
            <w:noWrap w:val="0"/>
            <w:tcMar>
              <w:top w:w="0" w:type="dxa"/>
              <w:left w:w="51" w:type="dxa"/>
              <w:bottom w:w="0" w:type="dxa"/>
              <w:right w:w="51" w:type="dxa"/>
            </w:tcMar>
            <w:vAlign w:val="center"/>
          </w:tcPr>
          <w:p>
            <w:pPr>
              <w:pStyle w:val="37"/>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依法获取污水排入排水管网许可，进入城镇污水处理厂；或</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进入工业废水集中处理厂；或</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进入其他单位</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6</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直接进入海域或进入江、河、湖、库等水环境；或</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进入城市下水道再入江、河、湖、库或再进入海域；或</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未依法取得污水排入排水管网许可，进入城镇污水处理厂；或</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4</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直接进入污灌农田或蒸发地</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12</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FF0000"/>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厂内危险废物环境管理</w:t>
            </w: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不涉及危险废物的；或</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针对危险废物分区贮存、运输、利用、处置具有完善的专业设施和风险防控措施</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2359" w:type="dxa"/>
            <w:vMerge w:val="restart"/>
            <w:noWrap w:val="0"/>
            <w:tcMar>
              <w:top w:w="0" w:type="dxa"/>
              <w:left w:w="51" w:type="dxa"/>
              <w:bottom w:w="0" w:type="dxa"/>
              <w:right w:w="51" w:type="dxa"/>
            </w:tcMar>
            <w:vAlign w:val="center"/>
          </w:tcPr>
          <w:p>
            <w:pPr>
              <w:pStyle w:val="3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具备完善的危险废物贮存设施和风险防控措</w:t>
            </w:r>
            <w:r>
              <w:rPr>
                <w:rFonts w:hint="default" w:ascii="Times New Roman" w:hAnsi="Times New Roman" w:cs="Times New Roman"/>
                <w:color w:val="auto"/>
                <w:lang w:eastAsia="zh-CN"/>
              </w:rPr>
              <w:t>；</w:t>
            </w:r>
            <w:r>
              <w:rPr>
                <w:rFonts w:hint="default" w:ascii="Times New Roman" w:hAnsi="Times New Roman" w:cs="Times New Roman"/>
                <w:color w:val="auto"/>
              </w:rPr>
              <w:t>运输、利用、处置</w:t>
            </w:r>
            <w:r>
              <w:rPr>
                <w:rFonts w:hint="default" w:ascii="Times New Roman" w:hAnsi="Times New Roman" w:cs="Times New Roman"/>
                <w:color w:val="auto"/>
                <w:lang w:val="en-US" w:eastAsia="zh-CN"/>
              </w:rPr>
              <w:t>均委托具有完善的专业设施和风险防控措施有资质单位</w:t>
            </w:r>
          </w:p>
        </w:tc>
        <w:tc>
          <w:tcPr>
            <w:tcW w:w="52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不具备完善的危险废物贮存、运输、利用、处置设施和风险防控措施</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10</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近3年内突发水环境事件发生情况</w:t>
            </w: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发生过特别重大及重大等级突发水环境事件的</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8</w:t>
            </w:r>
          </w:p>
        </w:tc>
        <w:tc>
          <w:tcPr>
            <w:tcW w:w="235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未发生突发水环境事件</w:t>
            </w:r>
          </w:p>
        </w:tc>
        <w:tc>
          <w:tcPr>
            <w:tcW w:w="529" w:type="dxa"/>
            <w:vMerge w:val="restart"/>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发生过较大等级突发水环境事件的</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6</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发生过一般等级突发水环境事件的</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4</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94"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4473" w:type="dxa"/>
            <w:noWrap w:val="0"/>
            <w:tcMar>
              <w:top w:w="0" w:type="dxa"/>
              <w:left w:w="51" w:type="dxa"/>
              <w:bottom w:w="0" w:type="dxa"/>
              <w:right w:w="51" w:type="dxa"/>
            </w:tcMar>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未发生突发水环境事件的</w:t>
            </w:r>
          </w:p>
        </w:tc>
        <w:tc>
          <w:tcPr>
            <w:tcW w:w="763" w:type="dxa"/>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c>
          <w:tcPr>
            <w:tcW w:w="235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c>
          <w:tcPr>
            <w:tcW w:w="529" w:type="dxa"/>
            <w:vMerge w:val="continue"/>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8589" w:type="dxa"/>
            <w:gridSpan w:val="4"/>
            <w:noWrap w:val="0"/>
            <w:tcMar>
              <w:top w:w="0" w:type="dxa"/>
              <w:left w:w="51" w:type="dxa"/>
              <w:bottom w:w="0" w:type="dxa"/>
              <w:right w:w="51" w:type="dxa"/>
            </w:tcMar>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合计</w:t>
            </w:r>
          </w:p>
        </w:tc>
        <w:tc>
          <w:tcPr>
            <w:tcW w:w="529" w:type="dxa"/>
            <w:noWrap w:val="0"/>
            <w:tcMar>
              <w:top w:w="0" w:type="dxa"/>
              <w:left w:w="51" w:type="dxa"/>
              <w:bottom w:w="0" w:type="dxa"/>
              <w:right w:w="51" w:type="dxa"/>
            </w:tcMar>
            <w:vAlign w:val="center"/>
          </w:tcPr>
          <w:p>
            <w:pPr>
              <w:pStyle w:val="37"/>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0</w:t>
            </w:r>
          </w:p>
        </w:tc>
      </w:tr>
    </w:tbl>
    <w:p>
      <w:pPr>
        <w:bidi w:val="0"/>
        <w:rPr>
          <w:rFonts w:hint="default" w:ascii="Times New Roman" w:hAnsi="Times New Roman" w:cs="Times New Roman"/>
          <w:b/>
          <w:bCs/>
        </w:rPr>
      </w:pPr>
      <w:r>
        <w:rPr>
          <w:rFonts w:hint="default" w:ascii="Times New Roman" w:hAnsi="Times New Roman" w:cs="Times New Roman"/>
          <w:b/>
          <w:bCs/>
        </w:rPr>
        <w:t>6.2.2.3 企业生产工艺过程与水环境风险控制水平</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结合公司生产工艺过程与水环境风险控制水平情况，公司评分情况见表6.2-4。</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表6.2-4 企业生产工艺过程与水环境风险控制水平</w:t>
      </w:r>
    </w:p>
    <w:tbl>
      <w:tblPr>
        <w:tblStyle w:val="29"/>
        <w:tblW w:w="924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748"/>
        <w:gridCol w:w="6699"/>
        <w:gridCol w:w="79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bookmarkStart w:id="155" w:name="_Hlk512254711"/>
            <w:r>
              <w:rPr>
                <w:rFonts w:hint="default" w:ascii="Times New Roman" w:hAnsi="Times New Roman" w:cs="Times New Roman"/>
                <w:color w:val="auto"/>
              </w:rPr>
              <w:t>评估指标</w:t>
            </w:r>
          </w:p>
        </w:tc>
        <w:tc>
          <w:tcPr>
            <w:tcW w:w="6699"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评估依据</w:t>
            </w:r>
          </w:p>
        </w:tc>
        <w:tc>
          <w:tcPr>
            <w:tcW w:w="79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企业评分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生产工艺</w:t>
            </w:r>
          </w:p>
        </w:tc>
        <w:tc>
          <w:tcPr>
            <w:tcW w:w="6699" w:type="dxa"/>
            <w:noWrap w:val="0"/>
            <w:vAlign w:val="center"/>
          </w:tcPr>
          <w:p>
            <w:pPr>
              <w:pStyle w:val="37"/>
              <w:bidi w:val="0"/>
              <w:ind w:firstLine="0" w:firstLineChars="0"/>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cs="Times New Roman"/>
                <w:color w:val="auto"/>
              </w:rPr>
              <w:t>氧化工艺</w:t>
            </w:r>
            <w:r>
              <w:rPr>
                <w:rFonts w:hint="default" w:ascii="Times New Roman" w:hAnsi="Times New Roman" w:cs="Times New Roman"/>
                <w:color w:val="auto"/>
                <w:lang w:val="en-US" w:eastAsia="zh-CN"/>
              </w:rPr>
              <w:t>4套</w:t>
            </w:r>
          </w:p>
        </w:tc>
        <w:tc>
          <w:tcPr>
            <w:tcW w:w="795" w:type="dxa"/>
            <w:noWrap w:val="0"/>
            <w:vAlign w:val="center"/>
          </w:tcPr>
          <w:p>
            <w:pPr>
              <w:pStyle w:val="37"/>
              <w:bidi w:val="0"/>
              <w:rPr>
                <w:rFonts w:hint="default" w:ascii="Times New Roman" w:hAnsi="Times New Roman" w:cs="Times New Roman"/>
                <w:color w:val="auto"/>
              </w:rPr>
            </w:pPr>
            <w:r>
              <w:rPr>
                <w:rFonts w:hint="eastAsia" w:cs="Times New Roman"/>
                <w:color w:val="auto"/>
                <w:lang w:val="en-US" w:eastAsia="zh-CN"/>
              </w:rPr>
              <w:t>4</w:t>
            </w: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截流措施</w:t>
            </w:r>
          </w:p>
        </w:tc>
        <w:tc>
          <w:tcPr>
            <w:tcW w:w="6699" w:type="dxa"/>
            <w:noWrap w:val="0"/>
            <w:vAlign w:val="center"/>
          </w:tcPr>
          <w:p>
            <w:pPr>
              <w:pStyle w:val="37"/>
              <w:bidi w:val="0"/>
              <w:ind w:firstLine="0" w:firstLineChars="0"/>
              <w:rPr>
                <w:rFonts w:hint="default" w:ascii="Times New Roman" w:hAnsi="Times New Roman" w:cs="Times New Roman"/>
                <w:color w:val="auto"/>
              </w:rPr>
            </w:pPr>
            <w:r>
              <w:rPr>
                <w:rFonts w:hint="default" w:ascii="Times New Roman" w:hAnsi="Times New Roman" w:cs="Times New Roman"/>
                <w:color w:val="auto"/>
              </w:rPr>
              <w:t>各风险单元均设置防渗漏、防腐蚀、防淋溶措施；原料罐区设围堰，车间</w:t>
            </w:r>
            <w:r>
              <w:rPr>
                <w:rFonts w:hint="default" w:ascii="Times New Roman" w:hAnsi="Times New Roman" w:cs="Times New Roman"/>
                <w:color w:val="auto"/>
                <w:lang w:eastAsia="zh-CN"/>
              </w:rPr>
              <w:t>及罐区围堰</w:t>
            </w:r>
            <w:r>
              <w:rPr>
                <w:rFonts w:hint="default" w:ascii="Times New Roman" w:hAnsi="Times New Roman" w:cs="Times New Roman"/>
                <w:color w:val="auto"/>
              </w:rPr>
              <w:t>内设有导流沟，与事故水池相连；有专人负责阀门开关</w:t>
            </w:r>
          </w:p>
        </w:tc>
        <w:tc>
          <w:tcPr>
            <w:tcW w:w="79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事故废水收集措施</w:t>
            </w:r>
          </w:p>
        </w:tc>
        <w:tc>
          <w:tcPr>
            <w:tcW w:w="6699" w:type="dxa"/>
            <w:noWrap w:val="0"/>
            <w:vAlign w:val="center"/>
          </w:tcPr>
          <w:p>
            <w:pPr>
              <w:pStyle w:val="37"/>
              <w:bidi w:val="0"/>
              <w:ind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一期工程</w:t>
            </w:r>
            <w:r>
              <w:rPr>
                <w:rFonts w:hint="default" w:ascii="Times New Roman" w:hAnsi="Times New Roman" w:cs="Times New Roman"/>
                <w:color w:val="auto"/>
              </w:rPr>
              <w:t>设置</w:t>
            </w:r>
            <w:r>
              <w:rPr>
                <w:rFonts w:hint="default" w:ascii="Times New Roman" w:hAnsi="Times New Roman" w:cs="Times New Roman"/>
                <w:color w:val="auto"/>
                <w:lang w:val="en-US" w:eastAsia="zh-CN"/>
              </w:rPr>
              <w:t>1</w:t>
            </w:r>
            <w:r>
              <w:rPr>
                <w:rFonts w:hint="default" w:ascii="Times New Roman" w:hAnsi="Times New Roman" w:cs="Times New Roman"/>
                <w:color w:val="auto"/>
              </w:rPr>
              <w:t>座事故水池</w:t>
            </w:r>
            <w:r>
              <w:rPr>
                <w:rFonts w:hint="default" w:ascii="Times New Roman" w:hAnsi="Times New Roman" w:cs="Times New Roman"/>
                <w:color w:val="auto"/>
                <w:lang w:eastAsia="zh-CN"/>
              </w:rPr>
              <w:t>（</w:t>
            </w:r>
            <w:r>
              <w:rPr>
                <w:rFonts w:hint="default" w:ascii="Times New Roman" w:hAnsi="Times New Roman" w:cs="Times New Roman"/>
                <w:color w:val="auto"/>
              </w:rPr>
              <w:t>容积为</w:t>
            </w:r>
            <w:r>
              <w:rPr>
                <w:rFonts w:hint="default" w:ascii="Times New Roman" w:hAnsi="Times New Roman" w:cs="Times New Roman"/>
                <w:color w:val="auto"/>
                <w:lang w:val="en-US" w:eastAsia="zh-CN"/>
              </w:rPr>
              <w:t>2600m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rPr>
              <w:t>，容量满足要求；设计事故水池位置合理，事故废水顺着厂区坡度流入厂区内雨水管网，通过阀门、泵控制事故废水沿雨水管网流至事故池</w:t>
            </w:r>
          </w:p>
        </w:tc>
        <w:tc>
          <w:tcPr>
            <w:tcW w:w="79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清净废水系统风险防控措施</w:t>
            </w:r>
          </w:p>
        </w:tc>
        <w:tc>
          <w:tcPr>
            <w:tcW w:w="6699" w:type="dxa"/>
            <w:noWrap w:val="0"/>
            <w:vAlign w:val="center"/>
          </w:tcPr>
          <w:p>
            <w:pPr>
              <w:pStyle w:val="37"/>
              <w:bidi w:val="0"/>
              <w:ind w:firstLine="0" w:firstLineChars="0"/>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cs="Times New Roman"/>
                <w:color w:val="auto"/>
              </w:rPr>
              <w:t>不涉及清净废水</w:t>
            </w:r>
          </w:p>
        </w:tc>
        <w:tc>
          <w:tcPr>
            <w:tcW w:w="79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雨水排水系统风险防控措施</w:t>
            </w:r>
          </w:p>
        </w:tc>
        <w:tc>
          <w:tcPr>
            <w:tcW w:w="6699" w:type="dxa"/>
            <w:noWrap w:val="0"/>
            <w:vAlign w:val="center"/>
          </w:tcPr>
          <w:p>
            <w:pPr>
              <w:pStyle w:val="37"/>
              <w:bidi w:val="0"/>
              <w:ind w:firstLine="0" w:firstLineChars="0"/>
              <w:rPr>
                <w:rFonts w:hint="default" w:ascii="Times New Roman" w:hAnsi="Times New Roman" w:cs="Times New Roman"/>
                <w:color w:val="auto"/>
              </w:rPr>
            </w:pPr>
            <w:r>
              <w:rPr>
                <w:rFonts w:hint="default" w:ascii="Times New Roman" w:hAnsi="Times New Roman" w:cs="Times New Roman"/>
                <w:color w:val="auto"/>
              </w:rPr>
              <w:t>①具有收集初期雨水的收集池；池出水管上设置切断阀，正常情况下阀门关闭，防止受污染的雨水外排；池内设有提升设施，能将所收集物送至厂区内污水处理设施处理；②具有雨水系统总排口</w:t>
            </w:r>
            <w:r>
              <w:rPr>
                <w:rFonts w:hint="default" w:ascii="Times New Roman" w:hAnsi="Times New Roman" w:cs="Times New Roman"/>
                <w:color w:val="auto"/>
                <w:lang w:val="en-US" w:eastAsia="zh-CN"/>
              </w:rPr>
              <w:t>截流</w:t>
            </w:r>
            <w:r>
              <w:rPr>
                <w:rFonts w:hint="default" w:ascii="Times New Roman" w:hAnsi="Times New Roman" w:cs="Times New Roman"/>
                <w:color w:val="auto"/>
              </w:rPr>
              <w:t>设施，在紧急情况下有专人负责关闭雨水系统总排口，防止雨水、消防水和泄漏物进入外环境</w:t>
            </w:r>
          </w:p>
        </w:tc>
        <w:tc>
          <w:tcPr>
            <w:tcW w:w="795" w:type="dxa"/>
            <w:noWrap w:val="0"/>
            <w:vAlign w:val="center"/>
          </w:tcPr>
          <w:p>
            <w:pPr>
              <w:pStyle w:val="37"/>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生产废水处理系统风险防控措施</w:t>
            </w:r>
          </w:p>
        </w:tc>
        <w:tc>
          <w:tcPr>
            <w:tcW w:w="6699" w:type="dxa"/>
            <w:noWrap w:val="0"/>
            <w:vAlign w:val="center"/>
          </w:tcPr>
          <w:p>
            <w:pPr>
              <w:pStyle w:val="37"/>
              <w:bidi w:val="0"/>
              <w:ind w:firstLine="0" w:firstLineChars="0"/>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cs="Times New Roman"/>
                <w:color w:val="auto"/>
              </w:rPr>
              <w:t>无生产废水产生或外排</w:t>
            </w:r>
          </w:p>
        </w:tc>
        <w:tc>
          <w:tcPr>
            <w:tcW w:w="795" w:type="dxa"/>
            <w:noWrap w:val="0"/>
            <w:vAlign w:val="center"/>
          </w:tcPr>
          <w:p>
            <w:pPr>
              <w:pStyle w:val="37"/>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废水排放去向</w:t>
            </w:r>
          </w:p>
        </w:tc>
        <w:tc>
          <w:tcPr>
            <w:tcW w:w="6699" w:type="dxa"/>
            <w:noWrap w:val="0"/>
            <w:vAlign w:val="center"/>
          </w:tcPr>
          <w:p>
            <w:pPr>
              <w:pStyle w:val="37"/>
              <w:bidi w:val="0"/>
              <w:ind w:firstLine="0" w:firstLineChars="0"/>
              <w:rPr>
                <w:rFonts w:hint="default" w:ascii="Times New Roman" w:hAnsi="Times New Roman" w:cs="Times New Roman"/>
                <w:color w:val="auto"/>
              </w:rPr>
            </w:pPr>
            <w:r>
              <w:rPr>
                <w:rFonts w:hint="default" w:ascii="Times New Roman" w:hAnsi="Times New Roman" w:cs="Times New Roman"/>
                <w:color w:val="auto"/>
              </w:rPr>
              <w:t>无生产废水产生或外排</w:t>
            </w:r>
          </w:p>
        </w:tc>
        <w:tc>
          <w:tcPr>
            <w:tcW w:w="79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厂内危险废物环境管理</w:t>
            </w:r>
          </w:p>
        </w:tc>
        <w:tc>
          <w:tcPr>
            <w:tcW w:w="6699" w:type="dxa"/>
            <w:noWrap w:val="0"/>
            <w:vAlign w:val="center"/>
          </w:tcPr>
          <w:p>
            <w:pPr>
              <w:pStyle w:val="37"/>
              <w:bidi w:val="0"/>
              <w:ind w:firstLine="0" w:firstLineChars="0"/>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cs="Times New Roman"/>
                <w:color w:val="auto"/>
              </w:rPr>
              <w:t>具备完善的危险废物贮存设施和风险防控措</w:t>
            </w:r>
            <w:r>
              <w:rPr>
                <w:rFonts w:hint="default" w:ascii="Times New Roman" w:hAnsi="Times New Roman" w:cs="Times New Roman"/>
                <w:color w:val="auto"/>
                <w:lang w:eastAsia="zh-CN"/>
              </w:rPr>
              <w:t>；</w:t>
            </w:r>
            <w:r>
              <w:rPr>
                <w:rFonts w:hint="default" w:ascii="Times New Roman" w:hAnsi="Times New Roman" w:cs="Times New Roman"/>
                <w:color w:val="auto"/>
              </w:rPr>
              <w:t>运输、利用、处置</w:t>
            </w:r>
            <w:r>
              <w:rPr>
                <w:rFonts w:hint="default" w:ascii="Times New Roman" w:hAnsi="Times New Roman" w:cs="Times New Roman"/>
                <w:color w:val="auto"/>
                <w:lang w:val="en-US" w:eastAsia="zh-CN"/>
              </w:rPr>
              <w:t>均委托具有完善的专业设施和风险防控措施有资质单位</w:t>
            </w:r>
          </w:p>
        </w:tc>
        <w:tc>
          <w:tcPr>
            <w:tcW w:w="79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74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近3年内突发水环境事件发生情况</w:t>
            </w:r>
          </w:p>
        </w:tc>
        <w:tc>
          <w:tcPr>
            <w:tcW w:w="6699" w:type="dxa"/>
            <w:noWrap w:val="0"/>
            <w:vAlign w:val="center"/>
          </w:tcPr>
          <w:p>
            <w:pPr>
              <w:pStyle w:val="37"/>
              <w:bidi w:val="0"/>
              <w:ind w:firstLine="0" w:firstLineChars="0"/>
              <w:rPr>
                <w:rFonts w:hint="default" w:ascii="Times New Roman" w:hAnsi="Times New Roman" w:cs="Times New Roman"/>
                <w:color w:val="auto"/>
              </w:rPr>
            </w:pPr>
            <w:r>
              <w:rPr>
                <w:rFonts w:hint="default" w:ascii="Times New Roman" w:hAnsi="Times New Roman" w:cs="Times New Roman"/>
                <w:color w:val="auto"/>
              </w:rPr>
              <w:t>未发生突发水环境事件</w:t>
            </w:r>
          </w:p>
        </w:tc>
        <w:tc>
          <w:tcPr>
            <w:tcW w:w="795"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8447" w:type="dxa"/>
            <w:gridSpan w:val="2"/>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合计</w:t>
            </w:r>
          </w:p>
        </w:tc>
        <w:tc>
          <w:tcPr>
            <w:tcW w:w="795" w:type="dxa"/>
            <w:noWrap w:val="0"/>
            <w:vAlign w:val="center"/>
          </w:tcPr>
          <w:p>
            <w:pPr>
              <w:pStyle w:val="37"/>
              <w:bidi w:val="0"/>
              <w:rPr>
                <w:rFonts w:hint="default" w:ascii="Times New Roman" w:hAnsi="Times New Roman" w:eastAsia="宋体" w:cs="Times New Roman"/>
                <w:color w:val="auto"/>
                <w:lang w:val="en-US" w:eastAsia="zh-CN"/>
              </w:rPr>
            </w:pPr>
            <w:r>
              <w:rPr>
                <w:rFonts w:hint="eastAsia" w:cs="Times New Roman"/>
                <w:color w:val="FF0000"/>
                <w:lang w:val="en-US" w:eastAsia="zh-CN"/>
              </w:rPr>
              <w:t>4</w:t>
            </w:r>
            <w:r>
              <w:rPr>
                <w:rFonts w:hint="default" w:ascii="Times New Roman" w:hAnsi="Times New Roman" w:cs="Times New Roman"/>
                <w:color w:val="FF0000"/>
                <w:lang w:val="en-US" w:eastAsia="zh-CN"/>
              </w:rPr>
              <w:t>0</w:t>
            </w:r>
          </w:p>
        </w:tc>
      </w:tr>
      <w:bookmarkEnd w:id="155"/>
    </w:tbl>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表6.2-5 企业生产工艺过程与水环境风险控制水平类型划分</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730"/>
        <w:gridCol w:w="451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30"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生产工艺过程与环境风险控制水平值</w:t>
            </w:r>
          </w:p>
        </w:tc>
        <w:tc>
          <w:tcPr>
            <w:tcW w:w="4512"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生产工艺过程与环境风险控制水平类型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30"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M＜25</w:t>
            </w:r>
          </w:p>
        </w:tc>
        <w:tc>
          <w:tcPr>
            <w:tcW w:w="4512"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30"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25≤M＜45</w:t>
            </w:r>
          </w:p>
        </w:tc>
        <w:tc>
          <w:tcPr>
            <w:tcW w:w="4512"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30"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45≤M＜60</w:t>
            </w:r>
          </w:p>
        </w:tc>
        <w:tc>
          <w:tcPr>
            <w:tcW w:w="4512"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30"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M≥60</w:t>
            </w:r>
          </w:p>
        </w:tc>
        <w:tc>
          <w:tcPr>
            <w:tcW w:w="4512"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M4</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对照表6.2-4与表6.2-5，本公司生产工艺过程与水环境风险控制水平为M</w:t>
      </w:r>
      <w:r>
        <w:rPr>
          <w:rFonts w:hint="default" w:ascii="Times New Roman" w:hAnsi="Times New Roman" w:cs="Times New Roman"/>
          <w:bCs/>
          <w:color w:val="auto"/>
          <w:kern w:val="0"/>
          <w:highlight w:val="none"/>
          <w:lang w:val="en-US" w:eastAsia="zh-CN"/>
        </w:rPr>
        <w:t>2</w:t>
      </w:r>
      <w:r>
        <w:rPr>
          <w:rFonts w:hint="default" w:ascii="Times New Roman" w:hAnsi="Times New Roman" w:cs="Times New Roman"/>
          <w:bCs/>
          <w:color w:val="auto"/>
          <w:kern w:val="0"/>
          <w:highlight w:val="none"/>
        </w:rPr>
        <w:t>。</w:t>
      </w:r>
    </w:p>
    <w:p>
      <w:pPr>
        <w:pStyle w:val="5"/>
        <w:bidi w:val="0"/>
        <w:rPr>
          <w:rFonts w:hint="default" w:ascii="Times New Roman" w:hAnsi="Times New Roman" w:cs="Times New Roman"/>
          <w:lang w:eastAsia="zh-CN"/>
        </w:rPr>
      </w:pPr>
      <w:r>
        <w:rPr>
          <w:rFonts w:hint="default" w:ascii="Times New Roman" w:hAnsi="Times New Roman" w:cs="Times New Roman"/>
        </w:rPr>
        <w:t>6.2.3 水环境风险受体敏感程度</w:t>
      </w:r>
      <w:r>
        <w:rPr>
          <w:rFonts w:hint="default" w:ascii="Times New Roman" w:hAnsi="Times New Roman" w:cs="Times New Roman"/>
          <w:lang w:eastAsia="zh-CN"/>
        </w:rPr>
        <w:t>(</w:t>
      </w:r>
      <w:r>
        <w:rPr>
          <w:rFonts w:hint="default" w:ascii="Times New Roman" w:hAnsi="Times New Roman" w:cs="Times New Roman"/>
        </w:rPr>
        <w:t>E</w:t>
      </w:r>
      <w:r>
        <w:rPr>
          <w:rFonts w:hint="default" w:ascii="Times New Roman" w:hAnsi="Times New Roman" w:cs="Times New Roman"/>
          <w:lang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按照水环境风险受体敏感程度，同时考虑河流跨界的情况和可能造成土壤污染的情况，将水环境风险受体敏感程度类型划分为类型1、类型2和类型3，分别以E1、E2和E3表示，见表6.2-6。</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表6.2-6 水环境风险受体敏感程度类型划分</w:t>
      </w:r>
    </w:p>
    <w:tbl>
      <w:tblPr>
        <w:tblStyle w:val="29"/>
        <w:tblW w:w="924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518"/>
        <w:gridCol w:w="772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518"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敏感程度类型</w:t>
            </w:r>
          </w:p>
        </w:tc>
        <w:tc>
          <w:tcPr>
            <w:tcW w:w="7724"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 xml:space="preserve">水 环 境 </w:t>
            </w:r>
            <w:r>
              <w:rPr>
                <w:rFonts w:hint="default" w:ascii="Times New Roman" w:hAnsi="Times New Roman" w:cs="Times New Roman"/>
                <w:color w:val="auto"/>
                <w:lang w:eastAsia="zh-CN"/>
              </w:rPr>
              <w:t>风险</w:t>
            </w:r>
            <w:r>
              <w:rPr>
                <w:rFonts w:hint="default" w:ascii="Times New Roman" w:hAnsi="Times New Roman" w:cs="Times New Roman"/>
                <w:color w:val="auto"/>
              </w:rPr>
              <w:t xml:space="preserve"> 受 体</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518" w:type="dxa"/>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类型1</w:t>
            </w:r>
            <w:r>
              <w:rPr>
                <w:rFonts w:hint="default" w:ascii="Times New Roman" w:hAnsi="Times New Roman" w:cs="Times New Roman"/>
                <w:color w:val="auto"/>
                <w:lang w:eastAsia="zh-CN"/>
              </w:rPr>
              <w:t>(</w:t>
            </w:r>
            <w:r>
              <w:rPr>
                <w:rFonts w:hint="default" w:ascii="Times New Roman" w:hAnsi="Times New Roman" w:cs="Times New Roman"/>
                <w:color w:val="auto"/>
              </w:rPr>
              <w:t>E1</w:t>
            </w:r>
            <w:r>
              <w:rPr>
                <w:rFonts w:hint="default" w:ascii="Times New Roman" w:hAnsi="Times New Roman" w:cs="Times New Roman"/>
                <w:color w:val="auto"/>
                <w:lang w:eastAsia="zh-CN"/>
              </w:rPr>
              <w:t>)</w:t>
            </w:r>
          </w:p>
        </w:tc>
        <w:tc>
          <w:tcPr>
            <w:tcW w:w="7724" w:type="dxa"/>
            <w:noWrap w:val="0"/>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企业雨水排口、清净废水排口、污水排口下游10公里流经范围内有如下一类或多类环境风险受体：集中式地表水、地下水饮用水水源保护区</w:t>
            </w:r>
            <w:r>
              <w:rPr>
                <w:rFonts w:hint="default" w:ascii="Times New Roman" w:hAnsi="Times New Roman" w:cs="Times New Roman"/>
                <w:color w:val="auto"/>
                <w:lang w:eastAsia="zh-CN"/>
              </w:rPr>
              <w:t>(</w:t>
            </w:r>
            <w:r>
              <w:rPr>
                <w:rFonts w:hint="default" w:ascii="Times New Roman" w:hAnsi="Times New Roman" w:cs="Times New Roman"/>
                <w:color w:val="auto"/>
              </w:rPr>
              <w:t>包括一级保护区、二级保护区及准保护区</w:t>
            </w:r>
            <w:r>
              <w:rPr>
                <w:rFonts w:hint="default" w:ascii="Times New Roman" w:hAnsi="Times New Roman" w:cs="Times New Roman"/>
                <w:color w:val="auto"/>
                <w:lang w:eastAsia="zh-CN"/>
              </w:rPr>
              <w:t>)</w:t>
            </w:r>
            <w:r>
              <w:rPr>
                <w:rFonts w:hint="default" w:ascii="Times New Roman" w:hAnsi="Times New Roman" w:cs="Times New Roman"/>
                <w:color w:val="auto"/>
              </w:rPr>
              <w:t>；农村及分散式饮用水水源保护区；</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废水排入受纳水体后24小时流经范围</w:t>
            </w:r>
            <w:r>
              <w:rPr>
                <w:rFonts w:hint="default" w:ascii="Times New Roman" w:hAnsi="Times New Roman" w:cs="Times New Roman"/>
                <w:color w:val="auto"/>
                <w:lang w:eastAsia="zh-CN"/>
              </w:rPr>
              <w:t>(</w:t>
            </w:r>
            <w:r>
              <w:rPr>
                <w:rFonts w:hint="default" w:ascii="Times New Roman" w:hAnsi="Times New Roman" w:cs="Times New Roman"/>
                <w:color w:val="auto"/>
              </w:rPr>
              <w:t>按受纳河流最大日均流速计算</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内涉及跨国界的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518" w:type="dxa"/>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类型2</w:t>
            </w:r>
            <w:r>
              <w:rPr>
                <w:rFonts w:hint="default" w:ascii="Times New Roman" w:hAnsi="Times New Roman" w:cs="Times New Roman"/>
                <w:color w:val="auto"/>
                <w:lang w:eastAsia="zh-CN"/>
              </w:rPr>
              <w:t>(</w:t>
            </w:r>
            <w:r>
              <w:rPr>
                <w:rFonts w:hint="default" w:ascii="Times New Roman" w:hAnsi="Times New Roman" w:cs="Times New Roman"/>
                <w:color w:val="auto"/>
              </w:rPr>
              <w:t>E2</w:t>
            </w:r>
            <w:r>
              <w:rPr>
                <w:rFonts w:hint="default" w:ascii="Times New Roman" w:hAnsi="Times New Roman" w:cs="Times New Roman"/>
                <w:color w:val="auto"/>
                <w:lang w:eastAsia="zh-CN"/>
              </w:rPr>
              <w:t>)</w:t>
            </w:r>
          </w:p>
        </w:tc>
        <w:tc>
          <w:tcPr>
            <w:tcW w:w="7724" w:type="dxa"/>
            <w:noWrap w:val="0"/>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企业雨水排口、清净废水排口、污水排口下游10公里流经范围内有生态保护红线划定的或具有水生态服务功能的其他水生态环境敏感区和脆弱区，如国家公园，国家级和省级水产种质资源保护区，水产养殖区，天然渔场，海水浴场，盐场保护区，国家重要湿地，国家级和地方级海洋特别保护区，国家级和地方级海洋自然保护区，生物多样性保护优先区域，国家级和地方级自然保护区，国家级和省级风景名胜区，世界文化和自然遗产地，国家级和省级森林公园，世界、国家和省级地质公园，基本农田保护区，基本草原；</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2</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企业雨水排口、清净废水排口、污水排口下游10公里流经范围内涉及跨省界的；</w:t>
            </w:r>
          </w:p>
          <w:p>
            <w:pPr>
              <w:pStyle w:val="37"/>
              <w:bidi w:val="0"/>
              <w:jc w:val="left"/>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rPr>
              <w:t>3</w:t>
            </w:r>
            <w:r>
              <w:rPr>
                <w:rFonts w:hint="default" w:ascii="Times New Roman" w:hAnsi="Times New Roman" w:cs="Times New Roman"/>
                <w:color w:val="auto"/>
                <w:lang w:eastAsia="zh-CN"/>
              </w:rPr>
              <w:t xml:space="preserve">) </w:t>
            </w:r>
            <w:r>
              <w:rPr>
                <w:rFonts w:hint="default" w:ascii="Times New Roman" w:hAnsi="Times New Roman" w:cs="Times New Roman"/>
                <w:color w:val="auto"/>
              </w:rPr>
              <w:t>企业位于溶岩地貌、泄洪区、泥石流多发等地区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518" w:type="dxa"/>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类型3</w:t>
            </w:r>
            <w:r>
              <w:rPr>
                <w:rFonts w:hint="default" w:ascii="Times New Roman" w:hAnsi="Times New Roman" w:cs="Times New Roman"/>
                <w:color w:val="auto"/>
                <w:lang w:eastAsia="zh-CN"/>
              </w:rPr>
              <w:t>(</w:t>
            </w:r>
            <w:r>
              <w:rPr>
                <w:rFonts w:hint="default" w:ascii="Times New Roman" w:hAnsi="Times New Roman" w:cs="Times New Roman"/>
                <w:color w:val="auto"/>
              </w:rPr>
              <w:t>E3</w:t>
            </w:r>
            <w:r>
              <w:rPr>
                <w:rFonts w:hint="default" w:ascii="Times New Roman" w:hAnsi="Times New Roman" w:cs="Times New Roman"/>
                <w:color w:val="auto"/>
                <w:lang w:eastAsia="zh-CN"/>
              </w:rPr>
              <w:t>)</w:t>
            </w:r>
          </w:p>
        </w:tc>
        <w:tc>
          <w:tcPr>
            <w:tcW w:w="7724" w:type="dxa"/>
            <w:noWrap w:val="0"/>
            <w:vAlign w:val="center"/>
          </w:tcPr>
          <w:p>
            <w:pPr>
              <w:pStyle w:val="37"/>
              <w:bidi w:val="0"/>
              <w:jc w:val="left"/>
              <w:rPr>
                <w:rFonts w:hint="default" w:ascii="Times New Roman" w:hAnsi="Times New Roman" w:cs="Times New Roman"/>
                <w:color w:val="auto"/>
              </w:rPr>
            </w:pPr>
            <w:r>
              <w:rPr>
                <w:rFonts w:hint="default" w:ascii="Times New Roman" w:hAnsi="Times New Roman" w:cs="Times New Roman"/>
                <w:color w:val="auto"/>
              </w:rPr>
              <w:t>不涉及类型1和类型2情况的</w:t>
            </w:r>
          </w:p>
        </w:tc>
      </w:tr>
    </w:tbl>
    <w:p>
      <w:pPr>
        <w:adjustRightInd w:val="0"/>
        <w:jc w:val="left"/>
        <w:textAlignment w:val="baseline"/>
        <w:rPr>
          <w:rFonts w:hint="default" w:ascii="Times New Roman" w:hAnsi="Times New Roman" w:cs="Times New Roman"/>
          <w:color w:val="auto"/>
          <w:kern w:val="0"/>
          <w:sz w:val="21"/>
          <w:szCs w:val="20"/>
          <w:highlight w:val="none"/>
        </w:rPr>
      </w:pPr>
      <w:r>
        <w:rPr>
          <w:rFonts w:hint="default" w:ascii="Times New Roman" w:hAnsi="Times New Roman" w:cs="Times New Roman"/>
          <w:color w:val="auto"/>
          <w:kern w:val="0"/>
          <w:sz w:val="21"/>
          <w:szCs w:val="20"/>
          <w:highlight w:val="none"/>
        </w:rPr>
        <w:t>注：本表中规定的距离范围以到各类水环境保护目标或保护区域的边界为准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根据划分依据，本公司水环境风险受体敏感程度为类型1，以E</w:t>
      </w:r>
      <w:r>
        <w:rPr>
          <w:rFonts w:hint="default" w:ascii="Times New Roman" w:hAnsi="Times New Roman" w:cs="Times New Roman"/>
          <w:bCs/>
          <w:color w:val="auto"/>
          <w:kern w:val="0"/>
          <w:highlight w:val="none"/>
          <w:lang w:val="en-US" w:eastAsia="zh-CN"/>
        </w:rPr>
        <w:t>3</w:t>
      </w:r>
      <w:r>
        <w:rPr>
          <w:rFonts w:hint="default" w:ascii="Times New Roman" w:hAnsi="Times New Roman" w:cs="Times New Roman"/>
          <w:bCs/>
          <w:color w:val="auto"/>
          <w:kern w:val="0"/>
          <w:highlight w:val="none"/>
        </w:rPr>
        <w:t>表示。</w:t>
      </w:r>
    </w:p>
    <w:p>
      <w:pPr>
        <w:pStyle w:val="5"/>
        <w:bidi w:val="0"/>
        <w:rPr>
          <w:rFonts w:hint="default" w:ascii="Times New Roman" w:hAnsi="Times New Roman" w:cs="Times New Roman"/>
        </w:rPr>
      </w:pPr>
      <w:r>
        <w:rPr>
          <w:rFonts w:hint="default" w:ascii="Times New Roman" w:hAnsi="Times New Roman" w:cs="Times New Roman"/>
        </w:rPr>
        <w:t>6.2.4 突发水环境事件风险等级确定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根据企业周边水环境风险受体敏感程度</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E</w:t>
      </w:r>
      <w:r>
        <w:rPr>
          <w:rFonts w:hint="default" w:ascii="Times New Roman" w:hAnsi="Times New Roman" w:cs="Times New Roman"/>
          <w:bCs/>
          <w:color w:val="auto"/>
          <w:kern w:val="0"/>
          <w:highlight w:val="none"/>
          <w:lang w:eastAsia="zh-CN"/>
        </w:rPr>
        <w:t xml:space="preserve">) </w:t>
      </w:r>
      <w:r>
        <w:rPr>
          <w:rFonts w:hint="default" w:ascii="Times New Roman" w:hAnsi="Times New Roman" w:cs="Times New Roman"/>
          <w:bCs/>
          <w:color w:val="auto"/>
          <w:kern w:val="0"/>
          <w:highlight w:val="none"/>
        </w:rPr>
        <w:t>、涉水风险物质数量与临界量比值</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Q</w:t>
      </w:r>
      <w:r>
        <w:rPr>
          <w:rFonts w:hint="default" w:ascii="Times New Roman" w:hAnsi="Times New Roman" w:cs="Times New Roman"/>
          <w:bCs/>
          <w:color w:val="auto"/>
          <w:kern w:val="0"/>
          <w:highlight w:val="none"/>
          <w:lang w:eastAsia="zh-CN"/>
        </w:rPr>
        <w:t xml:space="preserve">) </w:t>
      </w:r>
      <w:r>
        <w:rPr>
          <w:rFonts w:hint="default" w:ascii="Times New Roman" w:hAnsi="Times New Roman" w:cs="Times New Roman"/>
          <w:bCs/>
          <w:color w:val="auto"/>
          <w:kern w:val="0"/>
          <w:highlight w:val="none"/>
        </w:rPr>
        <w:t>和生产工艺过程与水环境风险控制水平</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M</w:t>
      </w:r>
      <w:r>
        <w:rPr>
          <w:rFonts w:hint="default" w:ascii="Times New Roman" w:hAnsi="Times New Roman" w:cs="Times New Roman"/>
          <w:bCs/>
          <w:color w:val="auto"/>
          <w:kern w:val="0"/>
          <w:highlight w:val="none"/>
          <w:lang w:eastAsia="zh-CN"/>
        </w:rPr>
        <w:t xml:space="preserve">) </w:t>
      </w:r>
      <w:r>
        <w:rPr>
          <w:rFonts w:hint="default" w:ascii="Times New Roman" w:hAnsi="Times New Roman" w:cs="Times New Roman"/>
          <w:bCs/>
          <w:color w:val="auto"/>
          <w:kern w:val="0"/>
          <w:highlight w:val="none"/>
        </w:rPr>
        <w:t>，按照表6.2-7确定企业突发水环境事件风险等级。</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t>表6.</w:t>
      </w:r>
      <w:r>
        <w:rPr>
          <w:rFonts w:hint="default" w:ascii="Times New Roman" w:hAnsi="Times New Roman" w:eastAsia="黑体" w:cs="Times New Roman"/>
          <w:color w:val="auto"/>
          <w:highlight w:val="none"/>
          <w:lang w:val="en-US" w:eastAsia="zh-CN"/>
        </w:rPr>
        <w:t>2</w:t>
      </w:r>
      <w:r>
        <w:rPr>
          <w:rFonts w:hint="default" w:ascii="Times New Roman" w:hAnsi="Times New Roman" w:eastAsia="黑体" w:cs="Times New Roman"/>
          <w:color w:val="auto"/>
          <w:highlight w:val="none"/>
        </w:rPr>
        <w:t>-7 企业突发水环境事件风险分级矩阵表</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527"/>
        <w:gridCol w:w="1845"/>
        <w:gridCol w:w="1467"/>
        <w:gridCol w:w="1467"/>
        <w:gridCol w:w="1467"/>
        <w:gridCol w:w="146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restart"/>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环境风险受体敏感程度</w:t>
            </w:r>
            <w:r>
              <w:rPr>
                <w:rFonts w:hint="default" w:ascii="Times New Roman" w:hAnsi="Times New Roman" w:cs="Times New Roman"/>
                <w:color w:val="auto"/>
                <w:lang w:eastAsia="zh-CN"/>
              </w:rPr>
              <w:t>(</w:t>
            </w:r>
            <w:r>
              <w:rPr>
                <w:rFonts w:hint="default" w:ascii="Times New Roman" w:hAnsi="Times New Roman" w:cs="Times New Roman"/>
                <w:color w:val="auto"/>
              </w:rPr>
              <w:t>E</w:t>
            </w:r>
            <w:r>
              <w:rPr>
                <w:rFonts w:hint="default" w:ascii="Times New Roman" w:hAnsi="Times New Roman" w:cs="Times New Roman"/>
                <w:color w:val="auto"/>
                <w:lang w:eastAsia="zh-CN"/>
              </w:rPr>
              <w:t>)</w:t>
            </w:r>
          </w:p>
        </w:tc>
        <w:tc>
          <w:tcPr>
            <w:tcW w:w="1845" w:type="dxa"/>
            <w:vMerge w:val="restart"/>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风险物质数量与临界量比值</w:t>
            </w:r>
            <w:r>
              <w:rPr>
                <w:rFonts w:hint="default" w:ascii="Times New Roman" w:hAnsi="Times New Roman" w:cs="Times New Roman"/>
                <w:color w:val="auto"/>
                <w:lang w:eastAsia="zh-CN"/>
              </w:rPr>
              <w:t>(</w:t>
            </w:r>
            <w:r>
              <w:rPr>
                <w:rFonts w:hint="default" w:ascii="Times New Roman" w:hAnsi="Times New Roman" w:cs="Times New Roman"/>
                <w:color w:val="auto"/>
              </w:rPr>
              <w:t>Q</w:t>
            </w:r>
            <w:r>
              <w:rPr>
                <w:rFonts w:hint="default" w:ascii="Times New Roman" w:hAnsi="Times New Roman" w:cs="Times New Roman"/>
                <w:color w:val="auto"/>
                <w:lang w:eastAsia="zh-CN"/>
              </w:rPr>
              <w:t>)</w:t>
            </w:r>
          </w:p>
        </w:tc>
        <w:tc>
          <w:tcPr>
            <w:tcW w:w="5868" w:type="dxa"/>
            <w:gridSpan w:val="4"/>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生产工艺过程与环境风险控制水平</w:t>
            </w:r>
            <w:r>
              <w:rPr>
                <w:rFonts w:hint="default" w:ascii="Times New Roman" w:hAnsi="Times New Roman" w:cs="Times New Roman"/>
                <w:color w:val="auto"/>
                <w:lang w:eastAsia="zh-CN"/>
              </w:rPr>
              <w:t>(</w:t>
            </w:r>
            <w:r>
              <w:rPr>
                <w:rFonts w:hint="default" w:ascii="Times New Roman" w:hAnsi="Times New Roman" w:cs="Times New Roman"/>
                <w:color w:val="auto"/>
              </w:rPr>
              <w:t>M</w:t>
            </w:r>
            <w:r>
              <w:rPr>
                <w:rFonts w:hint="default" w:ascii="Times New Roman" w:hAnsi="Times New Roman" w:cs="Times New Roman"/>
                <w:color w:val="auto"/>
                <w:lang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continue"/>
            <w:noWrap w:val="0"/>
            <w:vAlign w:val="center"/>
          </w:tcPr>
          <w:p>
            <w:pPr>
              <w:pStyle w:val="37"/>
              <w:bidi w:val="0"/>
              <w:rPr>
                <w:rFonts w:hint="default" w:ascii="Times New Roman" w:hAnsi="Times New Roman" w:cs="Times New Roman"/>
                <w:color w:val="auto"/>
              </w:rPr>
            </w:pPr>
          </w:p>
        </w:tc>
        <w:tc>
          <w:tcPr>
            <w:tcW w:w="1845" w:type="dxa"/>
            <w:vMerge w:val="continue"/>
            <w:noWrap w:val="0"/>
            <w:vAlign w:val="center"/>
          </w:tcPr>
          <w:p>
            <w:pPr>
              <w:pStyle w:val="37"/>
              <w:bidi w:val="0"/>
              <w:rPr>
                <w:rFonts w:hint="default" w:ascii="Times New Roman" w:hAnsi="Times New Roman" w:cs="Times New Roman"/>
                <w:color w:val="auto"/>
              </w:rPr>
            </w:pP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M1类水平</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M2类水平</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M3类水平</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M4类水平</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restart"/>
            <w:noWrap w:val="0"/>
            <w:vAlign w:val="center"/>
          </w:tcPr>
          <w:p>
            <w:pPr>
              <w:pStyle w:val="37"/>
              <w:bidi w:val="0"/>
              <w:rPr>
                <w:rFonts w:hint="default" w:ascii="Times New Roman" w:hAnsi="Times New Roman" w:cs="Times New Roman"/>
                <w:color w:val="auto"/>
                <w:lang w:eastAsia="en-US"/>
              </w:rPr>
            </w:pPr>
            <w:r>
              <w:rPr>
                <w:rFonts w:hint="default" w:ascii="Times New Roman" w:hAnsi="Times New Roman" w:cs="Times New Roman"/>
                <w:color w:val="auto"/>
                <w:lang w:eastAsia="en-US"/>
              </w:rPr>
              <w:t>类型1</w:t>
            </w:r>
          </w:p>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eastAsia="en-US"/>
              </w:rPr>
              <w:t>E1</w:t>
            </w:r>
            <w:r>
              <w:rPr>
                <w:rFonts w:hint="default" w:ascii="Times New Roman" w:hAnsi="Times New Roman" w:cs="Times New Roman"/>
                <w:color w:val="auto"/>
                <w:lang w:eastAsia="zh-CN"/>
              </w:rPr>
              <w:t>)</w:t>
            </w:r>
          </w:p>
        </w:tc>
        <w:tc>
          <w:tcPr>
            <w:tcW w:w="1845" w:type="dxa"/>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1≤Q&lt;10</w:t>
            </w:r>
            <w:r>
              <w:rPr>
                <w:rFonts w:hint="default" w:ascii="Times New Roman" w:hAnsi="Times New Roman" w:cs="Times New Roman"/>
                <w:color w:val="auto"/>
                <w:lang w:eastAsia="zh-CN"/>
              </w:rPr>
              <w:t>(</w:t>
            </w:r>
            <w:r>
              <w:rPr>
                <w:rFonts w:hint="default" w:ascii="Times New Roman" w:hAnsi="Times New Roman" w:cs="Times New Roman"/>
                <w:color w:val="auto"/>
              </w:rPr>
              <w:t>Q1</w:t>
            </w:r>
            <w:r>
              <w:rPr>
                <w:rFonts w:hint="default" w:ascii="Times New Roman" w:hAnsi="Times New Roman" w:cs="Times New Roman"/>
                <w:color w:val="auto"/>
                <w:lang w:eastAsia="zh-CN"/>
              </w:rPr>
              <w:t>)</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continue"/>
            <w:noWrap w:val="0"/>
            <w:vAlign w:val="center"/>
          </w:tcPr>
          <w:p>
            <w:pPr>
              <w:pStyle w:val="37"/>
              <w:bidi w:val="0"/>
              <w:rPr>
                <w:rFonts w:hint="default" w:ascii="Times New Roman" w:hAnsi="Times New Roman" w:cs="Times New Roman"/>
                <w:color w:val="auto"/>
              </w:rPr>
            </w:pPr>
          </w:p>
        </w:tc>
        <w:tc>
          <w:tcPr>
            <w:tcW w:w="1845" w:type="dxa"/>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10≤Q&lt;100</w:t>
            </w:r>
            <w:r>
              <w:rPr>
                <w:rFonts w:hint="default" w:ascii="Times New Roman" w:hAnsi="Times New Roman" w:cs="Times New Roman"/>
                <w:color w:val="auto"/>
                <w:lang w:eastAsia="zh-CN"/>
              </w:rPr>
              <w:t>(</w:t>
            </w:r>
            <w:r>
              <w:rPr>
                <w:rFonts w:hint="default" w:ascii="Times New Roman" w:hAnsi="Times New Roman" w:cs="Times New Roman"/>
                <w:color w:val="auto"/>
              </w:rPr>
              <w:t>Q2</w:t>
            </w:r>
            <w:r>
              <w:rPr>
                <w:rFonts w:hint="default" w:ascii="Times New Roman" w:hAnsi="Times New Roman" w:cs="Times New Roman"/>
                <w:color w:val="auto"/>
                <w:lang w:eastAsia="zh-CN"/>
              </w:rPr>
              <w:t>)</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continue"/>
            <w:noWrap w:val="0"/>
            <w:vAlign w:val="center"/>
          </w:tcPr>
          <w:p>
            <w:pPr>
              <w:pStyle w:val="37"/>
              <w:bidi w:val="0"/>
              <w:rPr>
                <w:rFonts w:hint="default" w:ascii="Times New Roman" w:hAnsi="Times New Roman" w:cs="Times New Roman"/>
                <w:color w:val="auto"/>
              </w:rPr>
            </w:pPr>
          </w:p>
        </w:tc>
        <w:tc>
          <w:tcPr>
            <w:tcW w:w="1845" w:type="dxa"/>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Q≥100</w:t>
            </w:r>
            <w:r>
              <w:rPr>
                <w:rFonts w:hint="default" w:ascii="Times New Roman" w:hAnsi="Times New Roman" w:cs="Times New Roman"/>
                <w:color w:val="auto"/>
                <w:lang w:eastAsia="zh-CN"/>
              </w:rPr>
              <w:t>(</w:t>
            </w:r>
            <w:r>
              <w:rPr>
                <w:rFonts w:hint="default" w:ascii="Times New Roman" w:hAnsi="Times New Roman" w:cs="Times New Roman"/>
                <w:color w:val="auto"/>
              </w:rPr>
              <w:t>Q3</w:t>
            </w:r>
            <w:r>
              <w:rPr>
                <w:rFonts w:hint="default" w:ascii="Times New Roman" w:hAnsi="Times New Roman" w:cs="Times New Roman"/>
                <w:color w:val="auto"/>
                <w:lang w:eastAsia="zh-CN"/>
              </w:rPr>
              <w:t>)</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restart"/>
            <w:tcBorders>
              <w:top w:val="single" w:color="auto" w:sz="6" w:space="0"/>
              <w:right w:val="single" w:color="auto" w:sz="6" w:space="0"/>
            </w:tcBorders>
            <w:noWrap w:val="0"/>
            <w:vAlign w:val="center"/>
          </w:tcPr>
          <w:p>
            <w:pPr>
              <w:pStyle w:val="37"/>
              <w:bidi w:val="0"/>
              <w:rPr>
                <w:rFonts w:hint="default" w:ascii="Times New Roman" w:hAnsi="Times New Roman" w:cs="Times New Roman"/>
                <w:color w:val="auto"/>
                <w:lang w:eastAsia="en-US"/>
              </w:rPr>
            </w:pPr>
            <w:r>
              <w:rPr>
                <w:rFonts w:hint="default" w:ascii="Times New Roman" w:hAnsi="Times New Roman" w:cs="Times New Roman"/>
                <w:color w:val="auto"/>
                <w:lang w:eastAsia="en-US"/>
              </w:rPr>
              <w:t>类型2</w:t>
            </w:r>
          </w:p>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eastAsia="en-US"/>
              </w:rPr>
              <w:t>E2</w:t>
            </w:r>
            <w:r>
              <w:rPr>
                <w:rFonts w:hint="default" w:ascii="Times New Roman" w:hAnsi="Times New Roman" w:cs="Times New Roman"/>
                <w:color w:val="auto"/>
                <w:lang w:eastAsia="zh-CN"/>
              </w:rPr>
              <w:t>)</w:t>
            </w:r>
          </w:p>
        </w:tc>
        <w:tc>
          <w:tcPr>
            <w:tcW w:w="1845"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1≤Q&lt;10</w:t>
            </w:r>
            <w:r>
              <w:rPr>
                <w:rFonts w:hint="default" w:ascii="Times New Roman" w:hAnsi="Times New Roman" w:cs="Times New Roman"/>
                <w:color w:val="auto"/>
                <w:lang w:eastAsia="zh-CN"/>
              </w:rPr>
              <w:t>(</w:t>
            </w:r>
            <w:r>
              <w:rPr>
                <w:rFonts w:hint="default" w:ascii="Times New Roman" w:hAnsi="Times New Roman" w:cs="Times New Roman"/>
                <w:color w:val="auto"/>
              </w:rPr>
              <w:t>Q1</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一般</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continue"/>
            <w:tcBorders>
              <w:right w:val="single" w:color="auto" w:sz="6" w:space="0"/>
            </w:tcBorders>
            <w:noWrap w:val="0"/>
            <w:vAlign w:val="center"/>
          </w:tcPr>
          <w:p>
            <w:pPr>
              <w:pStyle w:val="37"/>
              <w:bidi w:val="0"/>
              <w:rPr>
                <w:rFonts w:hint="default" w:ascii="Times New Roman" w:hAnsi="Times New Roman" w:cs="Times New Roman"/>
                <w:color w:val="auto"/>
              </w:rPr>
            </w:pPr>
          </w:p>
        </w:tc>
        <w:tc>
          <w:tcPr>
            <w:tcW w:w="1845"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10≤Q&lt;100</w:t>
            </w:r>
            <w:r>
              <w:rPr>
                <w:rFonts w:hint="default" w:ascii="Times New Roman" w:hAnsi="Times New Roman" w:cs="Times New Roman"/>
                <w:color w:val="auto"/>
                <w:lang w:eastAsia="zh-CN"/>
              </w:rPr>
              <w:t>(</w:t>
            </w:r>
            <w:r>
              <w:rPr>
                <w:rFonts w:hint="default" w:ascii="Times New Roman" w:hAnsi="Times New Roman" w:cs="Times New Roman"/>
                <w:color w:val="auto"/>
              </w:rPr>
              <w:t>Q2</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tcBorders>
              <w:top w:val="single" w:color="auto" w:sz="6" w:space="0"/>
              <w:left w:val="single" w:color="auto" w:sz="6" w:space="0"/>
              <w:bottom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continue"/>
            <w:tcBorders>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p>
        </w:tc>
        <w:tc>
          <w:tcPr>
            <w:tcW w:w="1845"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Q≥100</w:t>
            </w:r>
            <w:r>
              <w:rPr>
                <w:rFonts w:hint="default" w:ascii="Times New Roman" w:hAnsi="Times New Roman" w:cs="Times New Roman"/>
                <w:color w:val="auto"/>
                <w:lang w:eastAsia="zh-CN"/>
              </w:rPr>
              <w:t>(</w:t>
            </w:r>
            <w:r>
              <w:rPr>
                <w:rFonts w:hint="default" w:ascii="Times New Roman" w:hAnsi="Times New Roman" w:cs="Times New Roman"/>
                <w:color w:val="auto"/>
              </w:rPr>
              <w:t>Q3</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tcBorders>
              <w:top w:val="single" w:color="auto" w:sz="6" w:space="0"/>
              <w:left w:val="single" w:color="auto" w:sz="6" w:space="0"/>
              <w:bottom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restart"/>
            <w:tcBorders>
              <w:top w:val="single" w:color="auto" w:sz="6" w:space="0"/>
              <w:right w:val="single" w:color="auto" w:sz="6" w:space="0"/>
            </w:tcBorders>
            <w:noWrap w:val="0"/>
            <w:vAlign w:val="center"/>
          </w:tcPr>
          <w:p>
            <w:pPr>
              <w:pStyle w:val="37"/>
              <w:bidi w:val="0"/>
              <w:rPr>
                <w:rFonts w:hint="default" w:ascii="Times New Roman" w:hAnsi="Times New Roman" w:cs="Times New Roman"/>
                <w:color w:val="auto"/>
                <w:lang w:eastAsia="en-US"/>
              </w:rPr>
            </w:pPr>
            <w:r>
              <w:rPr>
                <w:rFonts w:hint="default" w:ascii="Times New Roman" w:hAnsi="Times New Roman" w:cs="Times New Roman"/>
                <w:color w:val="auto"/>
                <w:lang w:eastAsia="en-US"/>
              </w:rPr>
              <w:t>类型3</w:t>
            </w:r>
          </w:p>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lang w:eastAsia="zh-CN"/>
              </w:rPr>
              <w:t>(</w:t>
            </w:r>
            <w:r>
              <w:rPr>
                <w:rFonts w:hint="default" w:ascii="Times New Roman" w:hAnsi="Times New Roman" w:cs="Times New Roman"/>
                <w:color w:val="auto"/>
                <w:lang w:eastAsia="en-US"/>
              </w:rPr>
              <w:t>E3</w:t>
            </w:r>
            <w:r>
              <w:rPr>
                <w:rFonts w:hint="default" w:ascii="Times New Roman" w:hAnsi="Times New Roman" w:cs="Times New Roman"/>
                <w:color w:val="auto"/>
                <w:lang w:eastAsia="zh-CN"/>
              </w:rPr>
              <w:t>)</w:t>
            </w:r>
          </w:p>
        </w:tc>
        <w:tc>
          <w:tcPr>
            <w:tcW w:w="1845"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1≤Q&lt;10</w:t>
            </w:r>
            <w:r>
              <w:rPr>
                <w:rFonts w:hint="default" w:ascii="Times New Roman" w:hAnsi="Times New Roman" w:cs="Times New Roman"/>
                <w:color w:val="auto"/>
                <w:lang w:eastAsia="zh-CN"/>
              </w:rPr>
              <w:t>(</w:t>
            </w:r>
            <w:r>
              <w:rPr>
                <w:rFonts w:hint="default" w:ascii="Times New Roman" w:hAnsi="Times New Roman" w:cs="Times New Roman"/>
                <w:color w:val="auto"/>
              </w:rPr>
              <w:t>Q1</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一般</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一般</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continue"/>
            <w:tcBorders>
              <w:right w:val="single" w:color="auto" w:sz="6" w:space="0"/>
            </w:tcBorders>
            <w:noWrap w:val="0"/>
            <w:vAlign w:val="center"/>
          </w:tcPr>
          <w:p>
            <w:pPr>
              <w:pStyle w:val="37"/>
              <w:bidi w:val="0"/>
              <w:rPr>
                <w:rFonts w:hint="default" w:ascii="Times New Roman" w:hAnsi="Times New Roman" w:cs="Times New Roman"/>
                <w:color w:val="auto"/>
              </w:rPr>
            </w:pPr>
          </w:p>
        </w:tc>
        <w:tc>
          <w:tcPr>
            <w:tcW w:w="1845"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10≤Q&lt;100</w:t>
            </w:r>
            <w:r>
              <w:rPr>
                <w:rFonts w:hint="default" w:ascii="Times New Roman" w:hAnsi="Times New Roman" w:cs="Times New Roman"/>
                <w:color w:val="auto"/>
                <w:lang w:eastAsia="zh-CN"/>
              </w:rPr>
              <w:t>(</w:t>
            </w:r>
            <w:r>
              <w:rPr>
                <w:rFonts w:hint="default" w:ascii="Times New Roman" w:hAnsi="Times New Roman" w:cs="Times New Roman"/>
                <w:color w:val="auto"/>
              </w:rPr>
              <w:t>Q2</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一般</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较大</w:t>
            </w:r>
          </w:p>
        </w:tc>
        <w:tc>
          <w:tcPr>
            <w:tcW w:w="1467" w:type="dxa"/>
            <w:tcBorders>
              <w:top w:val="single" w:color="auto" w:sz="6" w:space="0"/>
              <w:left w:val="single" w:color="auto" w:sz="6" w:space="0"/>
              <w:bottom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527" w:type="dxa"/>
            <w:vMerge w:val="continue"/>
            <w:tcBorders>
              <w:bottom w:val="single" w:color="auto" w:sz="12" w:space="0"/>
              <w:right w:val="single" w:color="auto" w:sz="6" w:space="0"/>
            </w:tcBorders>
            <w:noWrap w:val="0"/>
            <w:vAlign w:val="center"/>
          </w:tcPr>
          <w:p>
            <w:pPr>
              <w:pStyle w:val="37"/>
              <w:bidi w:val="0"/>
              <w:rPr>
                <w:rFonts w:hint="default" w:ascii="Times New Roman" w:hAnsi="Times New Roman" w:cs="Times New Roman"/>
                <w:color w:val="auto"/>
              </w:rPr>
            </w:pPr>
          </w:p>
        </w:tc>
        <w:tc>
          <w:tcPr>
            <w:tcW w:w="1845" w:type="dxa"/>
            <w:tcBorders>
              <w:top w:val="single" w:color="auto" w:sz="6" w:space="0"/>
              <w:left w:val="single" w:color="auto" w:sz="6" w:space="0"/>
              <w:bottom w:val="single" w:color="auto" w:sz="12" w:space="0"/>
              <w:right w:val="single" w:color="auto" w:sz="6" w:space="0"/>
            </w:tcBorders>
            <w:noWrap w:val="0"/>
            <w:vAlign w:val="center"/>
          </w:tcPr>
          <w:p>
            <w:pPr>
              <w:pStyle w:val="37"/>
              <w:bidi w:val="0"/>
              <w:rPr>
                <w:rFonts w:hint="default" w:ascii="Times New Roman" w:hAnsi="Times New Roman" w:cs="Times New Roman"/>
                <w:color w:val="auto"/>
                <w:lang w:eastAsia="zh-CN"/>
              </w:rPr>
            </w:pPr>
            <w:r>
              <w:rPr>
                <w:rFonts w:hint="default" w:ascii="Times New Roman" w:hAnsi="Times New Roman" w:cs="Times New Roman"/>
                <w:color w:val="auto"/>
              </w:rPr>
              <w:t>Q≥100</w:t>
            </w:r>
            <w:r>
              <w:rPr>
                <w:rFonts w:hint="default" w:ascii="Times New Roman" w:hAnsi="Times New Roman" w:cs="Times New Roman"/>
                <w:color w:val="auto"/>
                <w:lang w:eastAsia="zh-CN"/>
              </w:rPr>
              <w:t>(</w:t>
            </w:r>
            <w:r>
              <w:rPr>
                <w:rFonts w:hint="default" w:ascii="Times New Roman" w:hAnsi="Times New Roman" w:cs="Times New Roman"/>
                <w:color w:val="auto"/>
              </w:rPr>
              <w:t>Q3</w:t>
            </w:r>
            <w:r>
              <w:rPr>
                <w:rFonts w:hint="default" w:ascii="Times New Roman" w:hAnsi="Times New Roman" w:cs="Times New Roman"/>
                <w:color w:val="auto"/>
                <w:lang w:eastAsia="zh-CN"/>
              </w:rPr>
              <w:t>)</w:t>
            </w:r>
          </w:p>
        </w:tc>
        <w:tc>
          <w:tcPr>
            <w:tcW w:w="1467" w:type="dxa"/>
            <w:tcBorders>
              <w:top w:val="single" w:color="auto" w:sz="6" w:space="0"/>
              <w:left w:val="single" w:color="auto" w:sz="6" w:space="0"/>
              <w:bottom w:val="single" w:color="auto" w:sz="12"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b w:val="0"/>
                <w:bCs w:val="0"/>
                <w:color w:val="auto"/>
              </w:rPr>
              <w:t>较大</w:t>
            </w:r>
          </w:p>
        </w:tc>
        <w:tc>
          <w:tcPr>
            <w:tcW w:w="1467" w:type="dxa"/>
            <w:tcBorders>
              <w:top w:val="single" w:color="auto" w:sz="6" w:space="0"/>
              <w:left w:val="single" w:color="auto" w:sz="6" w:space="0"/>
              <w:bottom w:val="single" w:color="auto" w:sz="12" w:space="0"/>
              <w:right w:val="single" w:color="auto" w:sz="6" w:space="0"/>
            </w:tcBorders>
            <w:shd w:val="clear" w:color="auto" w:fill="D7D7D7" w:themeFill="background1" w:themeFillShade="D8"/>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b/>
                <w:bCs/>
                <w:color w:val="auto"/>
              </w:rPr>
              <w:t>较大</w:t>
            </w:r>
          </w:p>
        </w:tc>
        <w:tc>
          <w:tcPr>
            <w:tcW w:w="1467" w:type="dxa"/>
            <w:tcBorders>
              <w:top w:val="single" w:color="auto" w:sz="6" w:space="0"/>
              <w:left w:val="single" w:color="auto" w:sz="6" w:space="0"/>
              <w:bottom w:val="single" w:color="auto" w:sz="12" w:space="0"/>
              <w:right w:val="single" w:color="auto" w:sz="6"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c>
          <w:tcPr>
            <w:tcW w:w="1467" w:type="dxa"/>
            <w:tcBorders>
              <w:top w:val="single" w:color="auto" w:sz="6" w:space="0"/>
              <w:left w:val="single" w:color="auto" w:sz="6" w:space="0"/>
              <w:bottom w:val="single" w:color="auto" w:sz="12" w:space="0"/>
            </w:tcBorders>
            <w:noWrap w:val="0"/>
            <w:vAlign w:val="center"/>
          </w:tcPr>
          <w:p>
            <w:pPr>
              <w:pStyle w:val="37"/>
              <w:bidi w:val="0"/>
              <w:rPr>
                <w:rFonts w:hint="default" w:ascii="Times New Roman" w:hAnsi="Times New Roman" w:cs="Times New Roman"/>
                <w:color w:val="auto"/>
              </w:rPr>
            </w:pPr>
            <w:r>
              <w:rPr>
                <w:rFonts w:hint="default" w:ascii="Times New Roman" w:hAnsi="Times New Roman" w:cs="Times New Roman"/>
                <w:color w:val="auto"/>
              </w:rPr>
              <w:t>重大</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bCs/>
          <w:color w:val="auto"/>
          <w:kern w:val="0"/>
          <w:highlight w:val="none"/>
        </w:rPr>
        <w:t>本公司涉水风险物质数量与临界量比值以Q</w:t>
      </w:r>
      <w:r>
        <w:rPr>
          <w:rFonts w:hint="default" w:ascii="Times New Roman" w:hAnsi="Times New Roman" w:cs="Times New Roman"/>
          <w:bCs/>
          <w:color w:val="auto"/>
          <w:kern w:val="0"/>
          <w:highlight w:val="none"/>
          <w:lang w:val="en-US" w:eastAsia="zh-CN"/>
        </w:rPr>
        <w:t>3</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Q≥100</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表示，生产工艺过程与水环境风险控制水平为M</w:t>
      </w:r>
      <w:r>
        <w:rPr>
          <w:rFonts w:hint="default" w:ascii="Times New Roman" w:hAnsi="Times New Roman" w:cs="Times New Roman"/>
          <w:bCs/>
          <w:color w:val="auto"/>
          <w:kern w:val="0"/>
          <w:highlight w:val="none"/>
          <w:lang w:val="en-US" w:eastAsia="zh-CN"/>
        </w:rPr>
        <w:t>2</w:t>
      </w:r>
      <w:r>
        <w:rPr>
          <w:rFonts w:hint="default" w:ascii="Times New Roman" w:hAnsi="Times New Roman" w:cs="Times New Roman"/>
          <w:bCs/>
          <w:color w:val="auto"/>
          <w:kern w:val="0"/>
          <w:highlight w:val="none"/>
        </w:rPr>
        <w:t>，水环境风险受体敏感程度以E</w:t>
      </w:r>
      <w:r>
        <w:rPr>
          <w:rFonts w:hint="default" w:ascii="Times New Roman" w:hAnsi="Times New Roman" w:cs="Times New Roman"/>
          <w:bCs/>
          <w:color w:val="auto"/>
          <w:kern w:val="0"/>
          <w:highlight w:val="none"/>
          <w:lang w:val="en-US" w:eastAsia="zh-CN"/>
        </w:rPr>
        <w:t>3</w:t>
      </w:r>
      <w:r>
        <w:rPr>
          <w:rFonts w:hint="default" w:ascii="Times New Roman" w:hAnsi="Times New Roman" w:cs="Times New Roman"/>
          <w:bCs/>
          <w:color w:val="auto"/>
          <w:kern w:val="0"/>
          <w:highlight w:val="none"/>
        </w:rPr>
        <w:t>表示，根据《企业突发环境事件风险分级方法》</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HJ941-2018</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，本公司突发水环境事件风险等级为“</w:t>
      </w:r>
      <w:r>
        <w:rPr>
          <w:rFonts w:hint="default" w:ascii="Times New Roman" w:hAnsi="Times New Roman" w:cs="Times New Roman"/>
          <w:bCs/>
          <w:color w:val="auto"/>
          <w:kern w:val="0"/>
          <w:highlight w:val="none"/>
          <w:lang w:val="en-US" w:eastAsia="zh-CN"/>
        </w:rPr>
        <w:t>较大</w:t>
      </w:r>
      <w:r>
        <w:rPr>
          <w:rFonts w:hint="default" w:ascii="Times New Roman" w:hAnsi="Times New Roman" w:cs="Times New Roman"/>
          <w:bCs/>
          <w:color w:val="auto"/>
          <w:kern w:val="0"/>
          <w:highlight w:val="none"/>
        </w:rPr>
        <w:t>-水</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Q</w:t>
      </w:r>
      <w:r>
        <w:rPr>
          <w:rFonts w:hint="default" w:ascii="Times New Roman" w:hAnsi="Times New Roman" w:cs="Times New Roman"/>
          <w:bCs/>
          <w:color w:val="auto"/>
          <w:kern w:val="0"/>
          <w:highlight w:val="none"/>
          <w:lang w:val="en-US" w:eastAsia="zh-CN"/>
        </w:rPr>
        <w:t>3</w:t>
      </w:r>
      <w:r>
        <w:rPr>
          <w:rFonts w:hint="default" w:ascii="Times New Roman" w:hAnsi="Times New Roman" w:cs="Times New Roman"/>
          <w:bCs/>
          <w:color w:val="auto"/>
          <w:kern w:val="0"/>
          <w:highlight w:val="none"/>
        </w:rPr>
        <w:t>-M</w:t>
      </w:r>
      <w:r>
        <w:rPr>
          <w:rFonts w:hint="default" w:ascii="Times New Roman" w:hAnsi="Times New Roman" w:cs="Times New Roman"/>
          <w:bCs/>
          <w:color w:val="auto"/>
          <w:kern w:val="0"/>
          <w:highlight w:val="none"/>
          <w:lang w:val="en-US" w:eastAsia="zh-CN"/>
        </w:rPr>
        <w:t>2</w:t>
      </w:r>
      <w:r>
        <w:rPr>
          <w:rFonts w:hint="default" w:ascii="Times New Roman" w:hAnsi="Times New Roman" w:cs="Times New Roman"/>
          <w:bCs/>
          <w:color w:val="auto"/>
          <w:kern w:val="0"/>
          <w:highlight w:val="none"/>
        </w:rPr>
        <w:t>-E</w:t>
      </w:r>
      <w:r>
        <w:rPr>
          <w:rFonts w:hint="default" w:ascii="Times New Roman" w:hAnsi="Times New Roman" w:cs="Times New Roman"/>
          <w:bCs/>
          <w:color w:val="auto"/>
          <w:kern w:val="0"/>
          <w:highlight w:val="none"/>
          <w:lang w:val="en-US" w:eastAsia="zh-CN"/>
        </w:rPr>
        <w:t>3</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w:t>
      </w:r>
    </w:p>
    <w:p>
      <w:pPr>
        <w:pStyle w:val="4"/>
        <w:bidi w:val="0"/>
        <w:rPr>
          <w:rFonts w:hint="default" w:ascii="Times New Roman" w:hAnsi="Times New Roman" w:cs="Times New Roman"/>
        </w:rPr>
      </w:pPr>
      <w:bookmarkStart w:id="156" w:name="_Toc26239"/>
      <w:bookmarkStart w:id="157" w:name="_Toc1263"/>
      <w:r>
        <w:rPr>
          <w:rFonts w:hint="default" w:ascii="Times New Roman" w:hAnsi="Times New Roman" w:cs="Times New Roman"/>
        </w:rPr>
        <w:t>6.3 突发环境事件风险等级确定</w:t>
      </w:r>
      <w:bookmarkEnd w:id="156"/>
      <w:bookmarkEnd w:id="157"/>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FF0000"/>
          <w:kern w:val="0"/>
          <w:highlight w:val="none"/>
        </w:rPr>
      </w:pPr>
      <w:r>
        <w:rPr>
          <w:rFonts w:hint="default" w:ascii="Times New Roman" w:hAnsi="Times New Roman" w:cs="Times New Roman"/>
          <w:bCs/>
          <w:color w:val="auto"/>
          <w:kern w:val="0"/>
          <w:highlight w:val="none"/>
        </w:rPr>
        <w:t>根据《企业突发环境事件风险分级方法》</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HJ941-2018</w:t>
      </w:r>
      <w:r>
        <w:rPr>
          <w:rFonts w:hint="default" w:ascii="Times New Roman" w:hAnsi="Times New Roman" w:cs="Times New Roman"/>
          <w:bCs/>
          <w:color w:val="auto"/>
          <w:kern w:val="0"/>
          <w:highlight w:val="none"/>
          <w:lang w:eastAsia="zh-CN"/>
        </w:rPr>
        <w:t>)</w:t>
      </w:r>
      <w:r>
        <w:rPr>
          <w:rFonts w:hint="default" w:ascii="Times New Roman" w:hAnsi="Times New Roman" w:cs="Times New Roman"/>
          <w:bCs/>
          <w:color w:val="auto"/>
          <w:kern w:val="0"/>
          <w:highlight w:val="none"/>
        </w:rPr>
        <w:t>，本公司突发环境事件风险等级为“</w:t>
      </w:r>
      <w:r>
        <w:rPr>
          <w:rFonts w:hint="default" w:ascii="Times New Roman" w:hAnsi="Times New Roman" w:cs="Times New Roman"/>
          <w:b/>
          <w:bCs w:val="0"/>
          <w:color w:val="auto"/>
          <w:kern w:val="0"/>
          <w:highlight w:val="none"/>
          <w:lang w:val="en-US" w:eastAsia="zh-CN"/>
        </w:rPr>
        <w:t>重大</w:t>
      </w:r>
      <w:r>
        <w:rPr>
          <w:rFonts w:hint="default" w:ascii="Times New Roman" w:hAnsi="Times New Roman" w:cs="Times New Roman"/>
          <w:b/>
          <w:bCs w:val="0"/>
          <w:color w:val="auto"/>
          <w:kern w:val="0"/>
          <w:highlight w:val="none"/>
        </w:rPr>
        <w:t>[</w:t>
      </w:r>
      <w:r>
        <w:rPr>
          <w:rFonts w:hint="default" w:ascii="Times New Roman" w:hAnsi="Times New Roman" w:cs="Times New Roman"/>
          <w:b/>
          <w:bCs w:val="0"/>
          <w:color w:val="auto"/>
          <w:kern w:val="0"/>
          <w:highlight w:val="none"/>
          <w:lang w:val="en-US" w:eastAsia="zh-CN"/>
        </w:rPr>
        <w:t>重大</w:t>
      </w:r>
      <w:r>
        <w:rPr>
          <w:rFonts w:hint="default" w:ascii="Times New Roman" w:hAnsi="Times New Roman" w:cs="Times New Roman"/>
          <w:b/>
          <w:bCs w:val="0"/>
          <w:color w:val="auto"/>
          <w:kern w:val="0"/>
          <w:highlight w:val="none"/>
        </w:rPr>
        <w:t>-大气</w:t>
      </w:r>
      <w:r>
        <w:rPr>
          <w:rFonts w:hint="default" w:ascii="Times New Roman" w:hAnsi="Times New Roman" w:cs="Times New Roman"/>
          <w:b/>
          <w:bCs w:val="0"/>
          <w:color w:val="auto"/>
          <w:kern w:val="0"/>
          <w:highlight w:val="none"/>
          <w:lang w:eastAsia="zh-CN"/>
        </w:rPr>
        <w:t>(</w:t>
      </w:r>
      <w:r>
        <w:rPr>
          <w:rFonts w:hint="default" w:ascii="Times New Roman" w:hAnsi="Times New Roman" w:cs="Times New Roman"/>
          <w:b/>
          <w:bCs w:val="0"/>
          <w:color w:val="auto"/>
          <w:kern w:val="0"/>
          <w:highlight w:val="none"/>
        </w:rPr>
        <w:t>Q</w:t>
      </w:r>
      <w:r>
        <w:rPr>
          <w:rFonts w:hint="default" w:ascii="Times New Roman" w:hAnsi="Times New Roman" w:cs="Times New Roman"/>
          <w:b/>
          <w:bCs w:val="0"/>
          <w:color w:val="auto"/>
          <w:kern w:val="0"/>
          <w:highlight w:val="none"/>
          <w:lang w:val="en-US" w:eastAsia="zh-CN"/>
        </w:rPr>
        <w:t>3</w:t>
      </w:r>
      <w:r>
        <w:rPr>
          <w:rFonts w:hint="default" w:ascii="Times New Roman" w:hAnsi="Times New Roman" w:cs="Times New Roman"/>
          <w:b/>
          <w:bCs w:val="0"/>
          <w:color w:val="auto"/>
          <w:kern w:val="0"/>
          <w:highlight w:val="none"/>
        </w:rPr>
        <w:t>-M</w:t>
      </w:r>
      <w:r>
        <w:rPr>
          <w:rFonts w:hint="eastAsia" w:cs="Times New Roman"/>
          <w:b/>
          <w:bCs w:val="0"/>
          <w:color w:val="auto"/>
          <w:kern w:val="0"/>
          <w:highlight w:val="none"/>
          <w:lang w:val="en-US" w:eastAsia="zh-CN"/>
        </w:rPr>
        <w:t>4</w:t>
      </w:r>
      <w:r>
        <w:rPr>
          <w:rFonts w:hint="default" w:ascii="Times New Roman" w:hAnsi="Times New Roman" w:cs="Times New Roman"/>
          <w:b/>
          <w:bCs w:val="0"/>
          <w:color w:val="auto"/>
          <w:kern w:val="0"/>
          <w:highlight w:val="none"/>
        </w:rPr>
        <w:t>-E</w:t>
      </w:r>
      <w:r>
        <w:rPr>
          <w:rFonts w:hint="default" w:ascii="Times New Roman" w:hAnsi="Times New Roman" w:cs="Times New Roman"/>
          <w:b/>
          <w:bCs w:val="0"/>
          <w:color w:val="auto"/>
          <w:kern w:val="0"/>
          <w:highlight w:val="none"/>
          <w:lang w:val="en-US" w:eastAsia="zh-CN"/>
        </w:rPr>
        <w:t>2</w:t>
      </w:r>
      <w:r>
        <w:rPr>
          <w:rFonts w:hint="default" w:ascii="Times New Roman" w:hAnsi="Times New Roman" w:cs="Times New Roman"/>
          <w:b/>
          <w:bCs w:val="0"/>
          <w:color w:val="auto"/>
          <w:kern w:val="0"/>
          <w:highlight w:val="none"/>
          <w:lang w:eastAsia="zh-CN"/>
        </w:rPr>
        <w:t>)</w:t>
      </w:r>
      <w:r>
        <w:rPr>
          <w:rFonts w:hint="default" w:ascii="Times New Roman" w:hAnsi="Times New Roman" w:cs="Times New Roman"/>
          <w:b/>
          <w:bCs w:val="0"/>
          <w:color w:val="auto"/>
          <w:kern w:val="0"/>
          <w:highlight w:val="none"/>
        </w:rPr>
        <w:t>+</w:t>
      </w:r>
      <w:r>
        <w:rPr>
          <w:rFonts w:hint="default" w:ascii="Times New Roman" w:hAnsi="Times New Roman" w:cs="Times New Roman"/>
          <w:b/>
          <w:bCs w:val="0"/>
          <w:color w:val="auto"/>
          <w:kern w:val="0"/>
          <w:highlight w:val="none"/>
          <w:lang w:val="en-US" w:eastAsia="zh-CN"/>
        </w:rPr>
        <w:t>较大</w:t>
      </w:r>
      <w:r>
        <w:rPr>
          <w:rFonts w:hint="default" w:ascii="Times New Roman" w:hAnsi="Times New Roman" w:cs="Times New Roman"/>
          <w:b/>
          <w:bCs w:val="0"/>
          <w:color w:val="auto"/>
          <w:kern w:val="0"/>
          <w:highlight w:val="none"/>
        </w:rPr>
        <w:t>-水(Q</w:t>
      </w:r>
      <w:r>
        <w:rPr>
          <w:rFonts w:hint="default" w:ascii="Times New Roman" w:hAnsi="Times New Roman" w:cs="Times New Roman"/>
          <w:b/>
          <w:bCs w:val="0"/>
          <w:color w:val="auto"/>
          <w:kern w:val="0"/>
          <w:highlight w:val="none"/>
          <w:lang w:val="en-US" w:eastAsia="zh-CN"/>
        </w:rPr>
        <w:t>3</w:t>
      </w:r>
      <w:r>
        <w:rPr>
          <w:rFonts w:hint="default" w:ascii="Times New Roman" w:hAnsi="Times New Roman" w:cs="Times New Roman"/>
          <w:b/>
          <w:bCs w:val="0"/>
          <w:color w:val="auto"/>
          <w:kern w:val="0"/>
          <w:highlight w:val="none"/>
        </w:rPr>
        <w:t>-M</w:t>
      </w:r>
      <w:r>
        <w:rPr>
          <w:rFonts w:hint="default" w:ascii="Times New Roman" w:hAnsi="Times New Roman" w:cs="Times New Roman"/>
          <w:b/>
          <w:bCs w:val="0"/>
          <w:color w:val="auto"/>
          <w:kern w:val="0"/>
          <w:highlight w:val="none"/>
          <w:lang w:val="en-US" w:eastAsia="zh-CN"/>
        </w:rPr>
        <w:t>2</w:t>
      </w:r>
      <w:r>
        <w:rPr>
          <w:rFonts w:hint="default" w:ascii="Times New Roman" w:hAnsi="Times New Roman" w:cs="Times New Roman"/>
          <w:b/>
          <w:bCs w:val="0"/>
          <w:color w:val="auto"/>
          <w:kern w:val="0"/>
          <w:highlight w:val="none"/>
        </w:rPr>
        <w:t>-E3)]</w:t>
      </w:r>
      <w:r>
        <w:rPr>
          <w:rFonts w:hint="default" w:ascii="Times New Roman" w:hAnsi="Times New Roman" w:cs="Times New Roman"/>
          <w:bCs/>
          <w:color w:val="auto"/>
          <w:kern w:val="0"/>
          <w:highlight w:val="none"/>
        </w:rPr>
        <w:t>”。</w:t>
      </w:r>
    </w:p>
    <w:p>
      <w:pPr>
        <w:pStyle w:val="28"/>
        <w:rPr>
          <w:rFonts w:hint="default" w:ascii="Times New Roman" w:hAnsi="Times New Roman" w:cs="Times New Roman"/>
        </w:rPr>
        <w:sectPr>
          <w:pgSz w:w="11906" w:h="16838"/>
          <w:pgMar w:top="1417" w:right="1417" w:bottom="1247" w:left="158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pPr>
    </w:p>
    <w:p>
      <w:pPr>
        <w:bidi w:val="0"/>
        <w:rPr>
          <w:rFonts w:hint="default" w:ascii="Times New Roman" w:hAnsi="Times New Roman" w:cs="Times New Roman"/>
          <w:color w:val="FF0000"/>
          <w:lang w:val="en-US" w:eastAsia="zh-CN"/>
        </w:rPr>
      </w:pPr>
      <w:bookmarkStart w:id="158" w:name="_GoBack"/>
      <w:bookmarkEnd w:id="158"/>
    </w:p>
    <w:sectPr>
      <w:footerReference r:id="rId11" w:type="default"/>
      <w:pgSz w:w="11906" w:h="16838"/>
      <w:pgMar w:top="1417" w:right="1417" w:bottom="1247" w:left="1587" w:header="850" w:footer="680" w:gutter="0"/>
      <w:pgBorders>
        <w:top w:val="none" w:sz="0" w:space="0"/>
        <w:left w:val="none" w:sz="0" w:space="0"/>
        <w:bottom w:val="none" w:sz="0" w:space="0"/>
        <w:right w:val="none" w:sz="0" w:space="0"/>
      </w:pgBorders>
      <w:pgNumType w:fmt="decimal"/>
      <w:cols w:space="72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䅂䍄䕅⮷싋칟䝂㈳ㄲ">
    <w:altName w:val="Segoe Print"/>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00000" w:csb1="00000000"/>
  </w:font>
  <w:font w:name="Cambria Math">
    <w:panose1 w:val="02040503050406030204"/>
    <w:charset w:val="00"/>
    <w:family w:val="auto"/>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jc w:val="center"/>
    </w:pPr>
  </w:p>
  <w:p>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tabs>
                              <w:tab w:val="center" w:pos="4153"/>
                              <w:tab w:val="right" w:pos="8306"/>
                            </w:tabs>
                            <w:rPr>
                              <w:rFonts w:hint="eastAsia" w:eastAsia="宋体"/>
                              <w:sz w:val="20"/>
                              <w:szCs w:val="20"/>
                              <w:lang w:eastAsia="zh-CN"/>
                            </w:rPr>
                          </w:pPr>
                          <w:r>
                            <w:rPr>
                              <w:rFonts w:hint="eastAsia"/>
                              <w:sz w:val="18"/>
                              <w:szCs w:val="18"/>
                              <w:lang w:eastAsia="zh-CN"/>
                            </w:rPr>
                            <w:fldChar w:fldCharType="begin"/>
                          </w:r>
                          <w:r>
                            <w:rPr>
                              <w:rFonts w:hint="eastAsia"/>
                              <w:sz w:val="18"/>
                              <w:szCs w:val="18"/>
                              <w:lang w:eastAsia="zh-CN"/>
                            </w:rPr>
                            <w:instrText xml:space="preserve"> PAGE  \* MERGEFORMAT </w:instrText>
                          </w:r>
                          <w:r>
                            <w:rPr>
                              <w:rFonts w:hint="eastAsia"/>
                              <w:sz w:val="18"/>
                              <w:szCs w:val="18"/>
                              <w:lang w:eastAsia="zh-CN"/>
                            </w:rPr>
                            <w:fldChar w:fldCharType="separate"/>
                          </w:r>
                          <w:r>
                            <w:rPr>
                              <w:rFonts w:hint="eastAsia"/>
                              <w:sz w:val="18"/>
                              <w:szCs w:val="18"/>
                              <w:lang w:eastAsia="zh-CN"/>
                            </w:rPr>
                            <w:t>1</w:t>
                          </w:r>
                          <w:r>
                            <w:rPr>
                              <w:rFonts w:hint="eastAsia"/>
                              <w:sz w:val="18"/>
                              <w:szCs w:val="18"/>
                              <w:lang w:eastAsia="zh-CN"/>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hpgkvT&#10;AAAABQEAAA8AAAAAAAAAAQAgAAAAIgAAAGRycy9kb3ducmV2LnhtbFBLAQIUABQAAAAIAIdO4kDZ&#10;ZJXy7AEAANcDAAAOAAAAAAAAAAEAIAAAACIBAABkcnMvZTJvRG9jLnhtbFBLBQYAAAAABgAGAFkB&#10;AACABQAAAAA=&#10;">
              <v:fill on="f" focussize="0,0"/>
              <v:stroke on="f" weight="1.25pt"/>
              <v:imagedata o:title=""/>
              <o:lock v:ext="edit" aspectratio="f"/>
              <v:textbox inset="0mm,0mm,0mm,0mm" style="mso-fit-shape-to-text:t;">
                <w:txbxContent>
                  <w:p>
                    <w:pPr>
                      <w:tabs>
                        <w:tab w:val="center" w:pos="4153"/>
                        <w:tab w:val="right" w:pos="8306"/>
                      </w:tabs>
                      <w:rPr>
                        <w:rFonts w:hint="eastAsia" w:eastAsia="宋体"/>
                        <w:sz w:val="20"/>
                        <w:szCs w:val="20"/>
                        <w:lang w:eastAsia="zh-CN"/>
                      </w:rPr>
                    </w:pPr>
                    <w:r>
                      <w:rPr>
                        <w:rFonts w:hint="eastAsia"/>
                        <w:sz w:val="18"/>
                        <w:szCs w:val="18"/>
                        <w:lang w:eastAsia="zh-CN"/>
                      </w:rPr>
                      <w:fldChar w:fldCharType="begin"/>
                    </w:r>
                    <w:r>
                      <w:rPr>
                        <w:rFonts w:hint="eastAsia"/>
                        <w:sz w:val="18"/>
                        <w:szCs w:val="18"/>
                        <w:lang w:eastAsia="zh-CN"/>
                      </w:rPr>
                      <w:instrText xml:space="preserve"> PAGE  \* MERGEFORMAT </w:instrText>
                    </w:r>
                    <w:r>
                      <w:rPr>
                        <w:rFonts w:hint="eastAsia"/>
                        <w:sz w:val="18"/>
                        <w:szCs w:val="18"/>
                        <w:lang w:eastAsia="zh-CN"/>
                      </w:rPr>
                      <w:fldChar w:fldCharType="separate"/>
                    </w:r>
                    <w:r>
                      <w:rPr>
                        <w:rFonts w:hint="eastAsia"/>
                        <w:sz w:val="18"/>
                        <w:szCs w:val="18"/>
                        <w:lang w:eastAsia="zh-CN"/>
                      </w:rPr>
                      <w:t>1</w:t>
                    </w:r>
                    <w:r>
                      <w:rPr>
                        <w:rFonts w:hint="eastAsia"/>
                        <w:sz w:val="18"/>
                        <w:szCs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ind w:left="0" w:leftChars="0" w:firstLine="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tabs>
                              <w:tab w:val="center" w:pos="4153"/>
                              <w:tab w:val="right" w:pos="8306"/>
                            </w:tabs>
                            <w:rPr>
                              <w:rFonts w:hint="eastAsia" w:eastAsia="宋体"/>
                              <w:lang w:eastAsia="zh-CN"/>
                            </w:rPr>
                          </w:pPr>
                          <w:r>
                            <w:rPr>
                              <w:rFonts w:hint="eastAsia"/>
                              <w:sz w:val="16"/>
                              <w:szCs w:val="16"/>
                              <w:lang w:eastAsia="zh-CN"/>
                            </w:rPr>
                            <w:fldChar w:fldCharType="begin"/>
                          </w:r>
                          <w:r>
                            <w:rPr>
                              <w:rFonts w:hint="eastAsia"/>
                              <w:sz w:val="16"/>
                              <w:szCs w:val="16"/>
                              <w:lang w:eastAsia="zh-CN"/>
                            </w:rPr>
                            <w:instrText xml:space="preserve"> PAGE  \* MERGEFORMAT </w:instrText>
                          </w:r>
                          <w:r>
                            <w:rPr>
                              <w:rFonts w:hint="eastAsia"/>
                              <w:sz w:val="16"/>
                              <w:szCs w:val="16"/>
                              <w:lang w:eastAsia="zh-CN"/>
                            </w:rPr>
                            <w:fldChar w:fldCharType="separate"/>
                          </w:r>
                          <w:r>
                            <w:rPr>
                              <w:rFonts w:hint="eastAsia"/>
                              <w:sz w:val="16"/>
                              <w:szCs w:val="16"/>
                              <w:lang w:eastAsia="zh-CN"/>
                            </w:rPr>
                            <w:t>1</w:t>
                          </w:r>
                          <w:r>
                            <w:rPr>
                              <w:rFonts w:hint="eastAsia"/>
                              <w:sz w:val="16"/>
                              <w:szCs w:val="16"/>
                              <w:lang w:eastAsia="zh-CN"/>
                            </w:rPr>
                            <w:fldChar w:fldCharType="end"/>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aGmC&#10;S9MAAAAFAQAADwAAAAAAAAABACAAAAAiAAAAZHJzL2Rvd25yZXYueG1sUEsBAhQAFAAAAAgAh07i&#10;QGlTaI/uAQAA1wMAAA4AAAAAAAAAAQAgAAAAIgEAAGRycy9lMm9Eb2MueG1sUEsFBgAAAAAGAAYA&#10;WQEAAIIFAAAAAA==&#10;">
              <v:fill on="f" focussize="0,0"/>
              <v:stroke on="f" weight="1.25pt"/>
              <v:imagedata o:title=""/>
              <o:lock v:ext="edit" aspectratio="f"/>
              <v:textbox inset="0mm,0mm,0mm,0mm" style="mso-fit-shape-to-text:t;">
                <w:txbxContent>
                  <w:p>
                    <w:pPr>
                      <w:tabs>
                        <w:tab w:val="center" w:pos="4153"/>
                        <w:tab w:val="right" w:pos="8306"/>
                      </w:tabs>
                      <w:rPr>
                        <w:rFonts w:hint="eastAsia" w:eastAsia="宋体"/>
                        <w:lang w:eastAsia="zh-CN"/>
                      </w:rPr>
                    </w:pPr>
                    <w:r>
                      <w:rPr>
                        <w:rFonts w:hint="eastAsia"/>
                        <w:sz w:val="16"/>
                        <w:szCs w:val="16"/>
                        <w:lang w:eastAsia="zh-CN"/>
                      </w:rPr>
                      <w:fldChar w:fldCharType="begin"/>
                    </w:r>
                    <w:r>
                      <w:rPr>
                        <w:rFonts w:hint="eastAsia"/>
                        <w:sz w:val="16"/>
                        <w:szCs w:val="16"/>
                        <w:lang w:eastAsia="zh-CN"/>
                      </w:rPr>
                      <w:instrText xml:space="preserve"> PAGE  \* MERGEFORMAT </w:instrText>
                    </w:r>
                    <w:r>
                      <w:rPr>
                        <w:rFonts w:hint="eastAsia"/>
                        <w:sz w:val="16"/>
                        <w:szCs w:val="16"/>
                        <w:lang w:eastAsia="zh-CN"/>
                      </w:rPr>
                      <w:fldChar w:fldCharType="separate"/>
                    </w:r>
                    <w:r>
                      <w:rPr>
                        <w:rFonts w:hint="eastAsia"/>
                        <w:sz w:val="16"/>
                        <w:szCs w:val="16"/>
                        <w:lang w:eastAsia="zh-CN"/>
                      </w:rPr>
                      <w:t>1</w:t>
                    </w:r>
                    <w:r>
                      <w:rPr>
                        <w:rFonts w:hint="eastAsia"/>
                        <w:sz w:val="16"/>
                        <w:szCs w:val="16"/>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left" w:pos="4330"/>
        <w:tab w:val="center" w:pos="4513"/>
        <w:tab w:val="right" w:pos="8306"/>
      </w:tabs>
      <w:ind w:right="360" w:firstLine="360"/>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tabs>
                              <w:tab w:val="center" w:pos="4153"/>
                              <w:tab w:val="right" w:pos="8306"/>
                            </w:tabs>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35</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oaYJL&#10;0wAAAAUBAAAPAAAAAAAAAAEAIAAAACIAAABkcnMvZG93bnJldi54bWxQSwECFAAUAAAACACHTuJA&#10;/P6I0O0BAADXAwAADgAAAAAAAAABACAAAAAiAQAAZHJzL2Uyb0RvYy54bWxQSwUGAAAAAAYABgBZ&#10;AQAAgQUAAAAA&#10;">
              <v:fill on="f" focussize="0,0"/>
              <v:stroke on="f" weight="1.25pt"/>
              <v:imagedata o:title=""/>
              <o:lock v:ext="edit" aspectratio="f"/>
              <v:textbox inset="0mm,0mm,0mm,0mm" style="mso-fit-shape-to-text:t;">
                <w:txbxContent>
                  <w:p>
                    <w:pPr>
                      <w:tabs>
                        <w:tab w:val="center" w:pos="4153"/>
                        <w:tab w:val="right" w:pos="8306"/>
                      </w:tabs>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35</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Bdr>
        <w:bottom w:val="single" w:color="auto" w:sz="4" w:space="0"/>
      </w:pBdr>
      <w:bidi w:val="0"/>
      <w:rPr>
        <w:rFonts w:hint="default"/>
        <w:sz w:val="16"/>
        <w:szCs w:val="21"/>
        <w:lang w:val="en-US" w:eastAsia="zh-CN"/>
      </w:rPr>
    </w:pPr>
    <w:r>
      <w:rPr>
        <w:rFonts w:hint="eastAsia"/>
        <w:sz w:val="16"/>
        <w:szCs w:val="21"/>
        <w:lang w:eastAsia="zh-CN"/>
      </w:rPr>
      <w:t>山东省润泰新材料有限公司</w:t>
    </w:r>
    <w:r>
      <w:rPr>
        <w:rFonts w:hint="eastAsia"/>
        <w:sz w:val="16"/>
        <w:szCs w:val="21"/>
      </w:rPr>
      <w:t>突发环境事件</w:t>
    </w:r>
    <w:r>
      <w:rPr>
        <w:rFonts w:hint="eastAsia"/>
        <w:sz w:val="16"/>
        <w:szCs w:val="21"/>
        <w:lang w:val="en-US" w:eastAsia="zh-CN"/>
      </w:rPr>
      <w:t>风险评估报告</w:t>
    </w:r>
  </w:p>
  <w:p>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Bdr>
        <w:bottom w:val="single" w:color="auto" w:sz="4" w:space="0"/>
      </w:pBdr>
      <w:bidi w:val="0"/>
      <w:rPr>
        <w:rFonts w:hint="default"/>
        <w:sz w:val="16"/>
        <w:szCs w:val="21"/>
        <w:lang w:val="en-US" w:eastAsia="zh-CN"/>
      </w:rPr>
    </w:pPr>
    <w:r>
      <w:rPr>
        <w:rFonts w:hint="eastAsia"/>
        <w:sz w:val="16"/>
        <w:szCs w:val="21"/>
        <w:lang w:eastAsia="zh-CN"/>
      </w:rPr>
      <w:t>山东省润泰新材料有限公司</w:t>
    </w:r>
    <w:r>
      <w:rPr>
        <w:rFonts w:hint="eastAsia"/>
        <w:sz w:val="16"/>
        <w:szCs w:val="21"/>
      </w:rPr>
      <w:t>突发环境事件</w:t>
    </w:r>
    <w:r>
      <w:rPr>
        <w:rFonts w:hint="eastAsia"/>
        <w:sz w:val="16"/>
        <w:szCs w:val="21"/>
        <w:lang w:val="en-US" w:eastAsia="zh-CN"/>
      </w:rPr>
      <w:t>风险评估报告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Bdr>
        <w:bottom w:val="single" w:color="auto" w:sz="4" w:space="0"/>
      </w:pBdr>
      <w:bidi w:val="0"/>
      <w:rPr>
        <w:rFonts w:hint="default"/>
        <w:sz w:val="16"/>
        <w:szCs w:val="21"/>
        <w:lang w:val="en-US" w:eastAsia="zh-CN"/>
      </w:rPr>
    </w:pPr>
    <w:r>
      <w:rPr>
        <w:rFonts w:hint="eastAsia"/>
        <w:sz w:val="16"/>
        <w:szCs w:val="21"/>
        <w:lang w:eastAsia="zh-CN"/>
      </w:rPr>
      <w:t>山东省润泰新材料有限公司</w:t>
    </w:r>
    <w:r>
      <w:rPr>
        <w:rFonts w:hint="eastAsia"/>
        <w:sz w:val="16"/>
        <w:szCs w:val="21"/>
      </w:rPr>
      <w:t>突发环境事件</w:t>
    </w:r>
    <w:r>
      <w:rPr>
        <w:rFonts w:hint="eastAsia"/>
        <w:sz w:val="16"/>
        <w:szCs w:val="21"/>
        <w:lang w:val="en-US" w:eastAsia="zh-CN"/>
      </w:rPr>
      <w:t>风险评估报告</w:t>
    </w:r>
  </w:p>
  <w:p>
    <w:pPr>
      <w:pStyle w:val="18"/>
    </w:pPr>
  </w:p>
  <w:p>
    <w:pPr>
      <w:spacing w:line="200" w:lineRule="exact"/>
      <w:ind w:left="0" w:leftChars="0" w:firstLine="0" w:firstLineChars="0"/>
      <w:rPr>
        <w:rFonts w:hint="eastAsia"/>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84B799"/>
    <w:multiLevelType w:val="singleLevel"/>
    <w:tmpl w:val="E984B799"/>
    <w:lvl w:ilvl="0" w:tentative="0">
      <w:start w:val="2"/>
      <w:numFmt w:val="decimal"/>
      <w:suff w:val="nothing"/>
      <w:lvlText w:val="%1、"/>
      <w:lvlJc w:val="left"/>
    </w:lvl>
  </w:abstractNum>
  <w:abstractNum w:abstractNumId="1">
    <w:nsid w:val="FB0427E3"/>
    <w:multiLevelType w:val="multilevel"/>
    <w:tmpl w:val="FB0427E3"/>
    <w:lvl w:ilvl="0" w:tentative="0">
      <w:start w:val="1"/>
      <w:numFmt w:val="decimal"/>
      <w:lvlText w:val="(%1)"/>
      <w:lvlJc w:val="left"/>
      <w:pPr>
        <w:tabs>
          <w:tab w:val="left" w:pos="431"/>
        </w:tabs>
        <w:ind w:left="0" w:firstLine="331"/>
      </w:pPr>
      <w:rPr>
        <w:rFonts w:hint="eastAsia"/>
        <w:color w:val="auto"/>
      </w:rPr>
    </w:lvl>
    <w:lvl w:ilvl="1" w:tentative="0">
      <w:start w:val="1"/>
      <w:numFmt w:val="bullet"/>
      <w:lvlText w:val=""/>
      <w:lvlJc w:val="left"/>
      <w:pPr>
        <w:ind w:left="675" w:hanging="360"/>
      </w:pPr>
      <w:rPr>
        <w:rFonts w:hint="eastAsia" w:ascii="Wingdings" w:hAnsi="Wingdings"/>
      </w:rPr>
    </w:lvl>
    <w:lvl w:ilvl="2" w:tentative="0">
      <w:start w:val="1"/>
      <w:numFmt w:val="decimalEnclosedCircle"/>
      <w:lvlText w:val="%3"/>
      <w:lvlJc w:val="left"/>
      <w:pPr>
        <w:ind w:left="1095" w:hanging="360"/>
      </w:pPr>
      <w:rPr>
        <w:rFonts w:hint="eastAsia"/>
      </w:rPr>
    </w:lvl>
    <w:lvl w:ilvl="3" w:tentative="0">
      <w:start w:val="1"/>
      <w:numFmt w:val="decimal"/>
      <w:lvlText w:val="%4."/>
      <w:lvlJc w:val="left"/>
      <w:pPr>
        <w:tabs>
          <w:tab w:val="left" w:pos="1575"/>
        </w:tabs>
        <w:ind w:left="1575" w:hanging="420"/>
      </w:pPr>
      <w:rPr>
        <w:rFonts w:hint="eastAsia"/>
      </w:rPr>
    </w:lvl>
    <w:lvl w:ilvl="4" w:tentative="0">
      <w:start w:val="1"/>
      <w:numFmt w:val="lowerLetter"/>
      <w:lvlText w:val="%5)"/>
      <w:lvlJc w:val="left"/>
      <w:pPr>
        <w:tabs>
          <w:tab w:val="left" w:pos="1995"/>
        </w:tabs>
        <w:ind w:left="1995" w:hanging="420"/>
      </w:pPr>
      <w:rPr>
        <w:rFonts w:hint="eastAsia"/>
      </w:rPr>
    </w:lvl>
    <w:lvl w:ilvl="5" w:tentative="0">
      <w:start w:val="1"/>
      <w:numFmt w:val="lowerRoman"/>
      <w:lvlText w:val="%6."/>
      <w:lvlJc w:val="right"/>
      <w:pPr>
        <w:tabs>
          <w:tab w:val="left" w:pos="2415"/>
        </w:tabs>
        <w:ind w:left="2415" w:hanging="420"/>
      </w:pPr>
      <w:rPr>
        <w:rFonts w:hint="eastAsia"/>
      </w:rPr>
    </w:lvl>
    <w:lvl w:ilvl="6" w:tentative="0">
      <w:start w:val="1"/>
      <w:numFmt w:val="decimal"/>
      <w:lvlText w:val="%7."/>
      <w:lvlJc w:val="left"/>
      <w:pPr>
        <w:tabs>
          <w:tab w:val="left" w:pos="2835"/>
        </w:tabs>
        <w:ind w:left="2835" w:hanging="420"/>
      </w:pPr>
      <w:rPr>
        <w:rFonts w:hint="eastAsia"/>
      </w:rPr>
    </w:lvl>
    <w:lvl w:ilvl="7" w:tentative="0">
      <w:start w:val="1"/>
      <w:numFmt w:val="lowerLetter"/>
      <w:lvlText w:val="%8)"/>
      <w:lvlJc w:val="left"/>
      <w:pPr>
        <w:tabs>
          <w:tab w:val="left" w:pos="3255"/>
        </w:tabs>
        <w:ind w:left="3255" w:hanging="420"/>
      </w:pPr>
      <w:rPr>
        <w:rFonts w:hint="eastAsia"/>
      </w:rPr>
    </w:lvl>
    <w:lvl w:ilvl="8" w:tentative="0">
      <w:start w:val="1"/>
      <w:numFmt w:val="lowerRoman"/>
      <w:lvlText w:val="%9."/>
      <w:lvlJc w:val="right"/>
      <w:pPr>
        <w:tabs>
          <w:tab w:val="left" w:pos="3675"/>
        </w:tabs>
        <w:ind w:left="3675" w:hanging="420"/>
      </w:pPr>
      <w:rPr>
        <w:rFonts w:hint="eastAsia"/>
      </w:rPr>
    </w:lvl>
  </w:abstractNum>
  <w:abstractNum w:abstractNumId="2">
    <w:nsid w:val="03E63791"/>
    <w:multiLevelType w:val="singleLevel"/>
    <w:tmpl w:val="03E63791"/>
    <w:lvl w:ilvl="0" w:tentative="0">
      <w:start w:val="15"/>
      <w:numFmt w:val="chineseCounting"/>
      <w:suff w:val="nothing"/>
      <w:lvlText w:val="%1、"/>
      <w:lvlJc w:val="left"/>
      <w:rPr>
        <w:rFonts w:hint="eastAsia"/>
      </w:rPr>
    </w:lvl>
  </w:abstractNum>
  <w:abstractNum w:abstractNumId="3">
    <w:nsid w:val="081CA0B7"/>
    <w:multiLevelType w:val="singleLevel"/>
    <w:tmpl w:val="081CA0B7"/>
    <w:lvl w:ilvl="0" w:tentative="0">
      <w:start w:val="1"/>
      <w:numFmt w:val="decimal"/>
      <w:suff w:val="nothing"/>
      <w:lvlText w:val="（%1）"/>
      <w:lvlJc w:val="left"/>
    </w:lvl>
  </w:abstractNum>
  <w:abstractNum w:abstractNumId="4">
    <w:nsid w:val="1380849F"/>
    <w:multiLevelType w:val="singleLevel"/>
    <w:tmpl w:val="1380849F"/>
    <w:lvl w:ilvl="0" w:tentative="0">
      <w:start w:val="1"/>
      <w:numFmt w:val="decimal"/>
      <w:suff w:val="nothing"/>
      <w:lvlText w:val="（%1）"/>
      <w:lvlJc w:val="left"/>
    </w:lvl>
  </w:abstractNum>
  <w:abstractNum w:abstractNumId="5">
    <w:nsid w:val="255799D2"/>
    <w:multiLevelType w:val="singleLevel"/>
    <w:tmpl w:val="255799D2"/>
    <w:lvl w:ilvl="0" w:tentative="0">
      <w:start w:val="1"/>
      <w:numFmt w:val="decimal"/>
      <w:suff w:val="nothing"/>
      <w:lvlText w:val="（%1）"/>
      <w:lvlJc w:val="left"/>
    </w:lvl>
  </w:abstractNum>
  <w:abstractNum w:abstractNumId="6">
    <w:nsid w:val="25D75C80"/>
    <w:multiLevelType w:val="multilevel"/>
    <w:tmpl w:val="25D75C80"/>
    <w:lvl w:ilvl="0" w:tentative="0">
      <w:start w:val="1"/>
      <w:numFmt w:val="decimal"/>
      <w:lvlText w:val="(%1)"/>
      <w:lvlJc w:val="left"/>
      <w:pPr>
        <w:tabs>
          <w:tab w:val="left" w:pos="0"/>
        </w:tabs>
        <w:ind w:left="-200" w:firstLine="454"/>
      </w:pPr>
      <w:rPr>
        <w:rFonts w:hint="eastAsia"/>
      </w:rPr>
    </w:lvl>
    <w:lvl w:ilvl="1" w:tentative="0">
      <w:start w:val="1"/>
      <w:numFmt w:val="lowerLetter"/>
      <w:lvlText w:val="%2)"/>
      <w:lvlJc w:val="left"/>
      <w:pPr>
        <w:tabs>
          <w:tab w:val="left" w:pos="735"/>
        </w:tabs>
        <w:ind w:left="735" w:hanging="420"/>
      </w:pPr>
    </w:lvl>
    <w:lvl w:ilvl="2" w:tentative="0">
      <w:start w:val="1"/>
      <w:numFmt w:val="lowerRoman"/>
      <w:lvlText w:val="%3."/>
      <w:lvlJc w:val="right"/>
      <w:pPr>
        <w:tabs>
          <w:tab w:val="left" w:pos="1155"/>
        </w:tabs>
        <w:ind w:left="1155" w:hanging="420"/>
      </w:pPr>
    </w:lvl>
    <w:lvl w:ilvl="3" w:tentative="0">
      <w:start w:val="1"/>
      <w:numFmt w:val="decimal"/>
      <w:lvlText w:val="%4."/>
      <w:lvlJc w:val="left"/>
      <w:pPr>
        <w:tabs>
          <w:tab w:val="left" w:pos="1575"/>
        </w:tabs>
        <w:ind w:left="1575" w:hanging="420"/>
      </w:pPr>
    </w:lvl>
    <w:lvl w:ilvl="4" w:tentative="0">
      <w:start w:val="1"/>
      <w:numFmt w:val="lowerLetter"/>
      <w:lvlText w:val="%5)"/>
      <w:lvlJc w:val="left"/>
      <w:pPr>
        <w:tabs>
          <w:tab w:val="left" w:pos="1995"/>
        </w:tabs>
        <w:ind w:left="1995" w:hanging="420"/>
      </w:pPr>
    </w:lvl>
    <w:lvl w:ilvl="5" w:tentative="0">
      <w:start w:val="1"/>
      <w:numFmt w:val="lowerRoman"/>
      <w:lvlText w:val="%6."/>
      <w:lvlJc w:val="right"/>
      <w:pPr>
        <w:tabs>
          <w:tab w:val="left" w:pos="2415"/>
        </w:tabs>
        <w:ind w:left="2415" w:hanging="420"/>
      </w:pPr>
    </w:lvl>
    <w:lvl w:ilvl="6" w:tentative="0">
      <w:start w:val="1"/>
      <w:numFmt w:val="decimal"/>
      <w:lvlText w:val="%7."/>
      <w:lvlJc w:val="left"/>
      <w:pPr>
        <w:tabs>
          <w:tab w:val="left" w:pos="2835"/>
        </w:tabs>
        <w:ind w:left="2835" w:hanging="420"/>
      </w:pPr>
    </w:lvl>
    <w:lvl w:ilvl="7" w:tentative="0">
      <w:start w:val="1"/>
      <w:numFmt w:val="lowerLetter"/>
      <w:lvlText w:val="%8)"/>
      <w:lvlJc w:val="left"/>
      <w:pPr>
        <w:tabs>
          <w:tab w:val="left" w:pos="3255"/>
        </w:tabs>
        <w:ind w:left="3255" w:hanging="420"/>
      </w:pPr>
    </w:lvl>
    <w:lvl w:ilvl="8" w:tentative="0">
      <w:start w:val="1"/>
      <w:numFmt w:val="lowerRoman"/>
      <w:lvlText w:val="%9."/>
      <w:lvlJc w:val="right"/>
      <w:pPr>
        <w:tabs>
          <w:tab w:val="left" w:pos="3675"/>
        </w:tabs>
        <w:ind w:left="3675" w:hanging="420"/>
      </w:pPr>
    </w:lvl>
  </w:abstractNum>
  <w:abstractNum w:abstractNumId="7">
    <w:nsid w:val="2A4F41B3"/>
    <w:multiLevelType w:val="singleLevel"/>
    <w:tmpl w:val="2A4F41B3"/>
    <w:lvl w:ilvl="0" w:tentative="0">
      <w:start w:val="1"/>
      <w:numFmt w:val="decimal"/>
      <w:suff w:val="nothing"/>
      <w:lvlText w:val="%1、"/>
      <w:lvlJc w:val="left"/>
      <w:pPr>
        <w:ind w:left="257"/>
      </w:pPr>
    </w:lvl>
  </w:abstractNum>
  <w:abstractNum w:abstractNumId="8">
    <w:nsid w:val="337A7682"/>
    <w:multiLevelType w:val="singleLevel"/>
    <w:tmpl w:val="337A7682"/>
    <w:lvl w:ilvl="0" w:tentative="0">
      <w:start w:val="1"/>
      <w:numFmt w:val="bullet"/>
      <w:pStyle w:val="16"/>
      <w:lvlText w:val=""/>
      <w:lvlJc w:val="left"/>
      <w:pPr>
        <w:tabs>
          <w:tab w:val="left" w:pos="2040"/>
        </w:tabs>
        <w:ind w:left="2040" w:hanging="360"/>
      </w:pPr>
      <w:rPr>
        <w:rFonts w:hint="default" w:ascii="Wingdings" w:hAnsi="Wingdings"/>
      </w:rPr>
    </w:lvl>
  </w:abstractNum>
  <w:abstractNum w:abstractNumId="9">
    <w:nsid w:val="35DCD336"/>
    <w:multiLevelType w:val="singleLevel"/>
    <w:tmpl w:val="35DCD336"/>
    <w:lvl w:ilvl="0" w:tentative="0">
      <w:start w:val="1"/>
      <w:numFmt w:val="decimal"/>
      <w:suff w:val="nothing"/>
      <w:lvlText w:val="（%1）"/>
      <w:lvlJc w:val="left"/>
    </w:lvl>
  </w:abstractNum>
  <w:abstractNum w:abstractNumId="10">
    <w:nsid w:val="36C468DF"/>
    <w:multiLevelType w:val="singleLevel"/>
    <w:tmpl w:val="36C468DF"/>
    <w:lvl w:ilvl="0" w:tentative="0">
      <w:start w:val="1"/>
      <w:numFmt w:val="decimal"/>
      <w:suff w:val="nothing"/>
      <w:lvlText w:val="（%1）"/>
      <w:lvlJc w:val="left"/>
    </w:lvl>
  </w:abstractNum>
  <w:abstractNum w:abstractNumId="11">
    <w:nsid w:val="451441D3"/>
    <w:multiLevelType w:val="multilevel"/>
    <w:tmpl w:val="451441D3"/>
    <w:lvl w:ilvl="0" w:tentative="0">
      <w:start w:val="1"/>
      <w:numFmt w:val="japaneseCounting"/>
      <w:lvlText w:val="%1、"/>
      <w:lvlJc w:val="left"/>
      <w:pPr>
        <w:tabs>
          <w:tab w:val="left" w:pos="962"/>
        </w:tabs>
        <w:ind w:left="962" w:hanging="480"/>
      </w:pPr>
      <w:rPr>
        <w:rFonts w:hint="default"/>
      </w:rPr>
    </w:lvl>
    <w:lvl w:ilvl="1" w:tentative="0">
      <w:start w:val="1"/>
      <w:numFmt w:val="decimal"/>
      <w:lvlText w:val="%2、"/>
      <w:lvlJc w:val="left"/>
      <w:pPr>
        <w:tabs>
          <w:tab w:val="left" w:pos="1262"/>
        </w:tabs>
        <w:ind w:left="1262" w:hanging="360"/>
      </w:pPr>
      <w:rPr>
        <w:rFonts w:hint="default"/>
      </w:r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pStyle w:val="7"/>
      <w:lvlText w:val="%5)"/>
      <w:lvlJc w:val="left"/>
      <w:pPr>
        <w:tabs>
          <w:tab w:val="left" w:pos="2582"/>
        </w:tabs>
        <w:ind w:left="2582" w:hanging="420"/>
      </w:pPr>
    </w:lvl>
    <w:lvl w:ilvl="5" w:tentative="0">
      <w:start w:val="1"/>
      <w:numFmt w:val="lowerRoman"/>
      <w:pStyle w:val="8"/>
      <w:lvlText w:val="%6."/>
      <w:lvlJc w:val="right"/>
      <w:pPr>
        <w:tabs>
          <w:tab w:val="left" w:pos="3002"/>
        </w:tabs>
        <w:ind w:left="3002" w:hanging="420"/>
      </w:pPr>
    </w:lvl>
    <w:lvl w:ilvl="6" w:tentative="0">
      <w:start w:val="1"/>
      <w:numFmt w:val="decimal"/>
      <w:pStyle w:val="9"/>
      <w:lvlText w:val="%7."/>
      <w:lvlJc w:val="left"/>
      <w:pPr>
        <w:tabs>
          <w:tab w:val="left" w:pos="3422"/>
        </w:tabs>
        <w:ind w:left="3422" w:hanging="420"/>
      </w:pPr>
    </w:lvl>
    <w:lvl w:ilvl="7" w:tentative="0">
      <w:start w:val="1"/>
      <w:numFmt w:val="lowerLetter"/>
      <w:pStyle w:val="10"/>
      <w:lvlText w:val="%8)"/>
      <w:lvlJc w:val="left"/>
      <w:pPr>
        <w:tabs>
          <w:tab w:val="left" w:pos="3842"/>
        </w:tabs>
        <w:ind w:left="3842" w:hanging="420"/>
      </w:pPr>
    </w:lvl>
    <w:lvl w:ilvl="8" w:tentative="0">
      <w:start w:val="1"/>
      <w:numFmt w:val="lowerRoman"/>
      <w:pStyle w:val="11"/>
      <w:lvlText w:val="%9."/>
      <w:lvlJc w:val="right"/>
      <w:pPr>
        <w:tabs>
          <w:tab w:val="left" w:pos="4262"/>
        </w:tabs>
        <w:ind w:left="4262" w:hanging="420"/>
      </w:pPr>
    </w:lvl>
  </w:abstractNum>
  <w:abstractNum w:abstractNumId="12">
    <w:nsid w:val="66E2890E"/>
    <w:multiLevelType w:val="multilevel"/>
    <w:tmpl w:val="66E2890E"/>
    <w:lvl w:ilvl="0" w:tentative="0">
      <w:start w:val="1"/>
      <w:numFmt w:val="decimal"/>
      <w:lvlText w:val="(%1)"/>
      <w:lvlJc w:val="left"/>
      <w:pPr>
        <w:tabs>
          <w:tab w:val="left" w:pos="431"/>
        </w:tabs>
        <w:ind w:left="0" w:firstLine="413"/>
      </w:pPr>
      <w:rPr>
        <w:rFonts w:hint="eastAsia"/>
      </w:rPr>
    </w:lvl>
    <w:lvl w:ilvl="1" w:tentative="0">
      <w:start w:val="1"/>
      <w:numFmt w:val="lowerLetter"/>
      <w:lvlText w:val="%2)"/>
      <w:lvlJc w:val="left"/>
      <w:pPr>
        <w:tabs>
          <w:tab w:val="left" w:pos="735"/>
        </w:tabs>
        <w:ind w:left="735" w:hanging="420"/>
      </w:pPr>
    </w:lvl>
    <w:lvl w:ilvl="2" w:tentative="0">
      <w:start w:val="1"/>
      <w:numFmt w:val="lowerRoman"/>
      <w:lvlText w:val="%3."/>
      <w:lvlJc w:val="right"/>
      <w:pPr>
        <w:tabs>
          <w:tab w:val="left" w:pos="1155"/>
        </w:tabs>
        <w:ind w:left="1155" w:hanging="420"/>
      </w:pPr>
    </w:lvl>
    <w:lvl w:ilvl="3" w:tentative="0">
      <w:start w:val="1"/>
      <w:numFmt w:val="decimal"/>
      <w:lvlText w:val="%4."/>
      <w:lvlJc w:val="left"/>
      <w:pPr>
        <w:tabs>
          <w:tab w:val="left" w:pos="1575"/>
        </w:tabs>
        <w:ind w:left="1575" w:hanging="420"/>
      </w:pPr>
    </w:lvl>
    <w:lvl w:ilvl="4" w:tentative="0">
      <w:start w:val="1"/>
      <w:numFmt w:val="lowerLetter"/>
      <w:lvlText w:val="%5)"/>
      <w:lvlJc w:val="left"/>
      <w:pPr>
        <w:tabs>
          <w:tab w:val="left" w:pos="1995"/>
        </w:tabs>
        <w:ind w:left="1995" w:hanging="420"/>
      </w:pPr>
    </w:lvl>
    <w:lvl w:ilvl="5" w:tentative="0">
      <w:start w:val="1"/>
      <w:numFmt w:val="lowerRoman"/>
      <w:lvlText w:val="%6."/>
      <w:lvlJc w:val="right"/>
      <w:pPr>
        <w:tabs>
          <w:tab w:val="left" w:pos="2415"/>
        </w:tabs>
        <w:ind w:left="2415" w:hanging="420"/>
      </w:pPr>
    </w:lvl>
    <w:lvl w:ilvl="6" w:tentative="0">
      <w:start w:val="1"/>
      <w:numFmt w:val="decimal"/>
      <w:lvlText w:val="%7."/>
      <w:lvlJc w:val="left"/>
      <w:pPr>
        <w:tabs>
          <w:tab w:val="left" w:pos="2835"/>
        </w:tabs>
        <w:ind w:left="2835" w:hanging="420"/>
      </w:pPr>
    </w:lvl>
    <w:lvl w:ilvl="7" w:tentative="0">
      <w:start w:val="1"/>
      <w:numFmt w:val="lowerLetter"/>
      <w:lvlText w:val="%8)"/>
      <w:lvlJc w:val="left"/>
      <w:pPr>
        <w:tabs>
          <w:tab w:val="left" w:pos="3255"/>
        </w:tabs>
        <w:ind w:left="3255" w:hanging="420"/>
      </w:pPr>
    </w:lvl>
    <w:lvl w:ilvl="8" w:tentative="0">
      <w:start w:val="1"/>
      <w:numFmt w:val="lowerRoman"/>
      <w:lvlText w:val="%9."/>
      <w:lvlJc w:val="right"/>
      <w:pPr>
        <w:tabs>
          <w:tab w:val="left" w:pos="3675"/>
        </w:tabs>
        <w:ind w:left="3675" w:hanging="420"/>
      </w:pPr>
    </w:lvl>
  </w:abstractNum>
  <w:num w:numId="1">
    <w:abstractNumId w:val="11"/>
  </w:num>
  <w:num w:numId="2">
    <w:abstractNumId w:val="8"/>
  </w:num>
  <w:num w:numId="3">
    <w:abstractNumId w:val="6"/>
  </w:num>
  <w:num w:numId="4">
    <w:abstractNumId w:val="12"/>
  </w:num>
  <w:num w:numId="5">
    <w:abstractNumId w:val="1"/>
  </w:num>
  <w:num w:numId="6">
    <w:abstractNumId w:val="2"/>
  </w:num>
  <w:num w:numId="7">
    <w:abstractNumId w:val="0"/>
  </w:num>
  <w:num w:numId="8">
    <w:abstractNumId w:val="3"/>
  </w:num>
  <w:num w:numId="9">
    <w:abstractNumId w:val="10"/>
  </w:num>
  <w:num w:numId="10">
    <w:abstractNumId w:val="4"/>
  </w:num>
  <w:num w:numId="11">
    <w:abstractNumId w:val="5"/>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hyphenationZone w:val="360"/>
  <w:drawingGridVerticalSpacing w:val="165"/>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iYTIwYTVhYzZmMmQwYzhlODZhZDg0YjhjYzU2YzAifQ=="/>
  </w:docVars>
  <w:rsids>
    <w:rsidRoot w:val="00024F93"/>
    <w:rsid w:val="000010D7"/>
    <w:rsid w:val="0000184E"/>
    <w:rsid w:val="00002ED0"/>
    <w:rsid w:val="00003BEC"/>
    <w:rsid w:val="00005C5C"/>
    <w:rsid w:val="000062CF"/>
    <w:rsid w:val="00007268"/>
    <w:rsid w:val="00010B56"/>
    <w:rsid w:val="000113F1"/>
    <w:rsid w:val="0001222F"/>
    <w:rsid w:val="000125E3"/>
    <w:rsid w:val="00013C4D"/>
    <w:rsid w:val="00015020"/>
    <w:rsid w:val="000159B6"/>
    <w:rsid w:val="000164E5"/>
    <w:rsid w:val="0001744F"/>
    <w:rsid w:val="0001762F"/>
    <w:rsid w:val="00017BC7"/>
    <w:rsid w:val="00020ADE"/>
    <w:rsid w:val="000210DC"/>
    <w:rsid w:val="000218A5"/>
    <w:rsid w:val="00023F10"/>
    <w:rsid w:val="00024B02"/>
    <w:rsid w:val="00024DC7"/>
    <w:rsid w:val="00024F93"/>
    <w:rsid w:val="00025D1E"/>
    <w:rsid w:val="000263BF"/>
    <w:rsid w:val="00026B75"/>
    <w:rsid w:val="000271E4"/>
    <w:rsid w:val="00027472"/>
    <w:rsid w:val="00027A6E"/>
    <w:rsid w:val="00030A54"/>
    <w:rsid w:val="00030AF2"/>
    <w:rsid w:val="00031A17"/>
    <w:rsid w:val="000329F0"/>
    <w:rsid w:val="000334F4"/>
    <w:rsid w:val="00035BC9"/>
    <w:rsid w:val="00035DC7"/>
    <w:rsid w:val="00036DD8"/>
    <w:rsid w:val="0003737D"/>
    <w:rsid w:val="000378F4"/>
    <w:rsid w:val="00037AA5"/>
    <w:rsid w:val="00037ABD"/>
    <w:rsid w:val="00037F23"/>
    <w:rsid w:val="000404D7"/>
    <w:rsid w:val="000405C6"/>
    <w:rsid w:val="000408F8"/>
    <w:rsid w:val="0004125A"/>
    <w:rsid w:val="000424BF"/>
    <w:rsid w:val="000434E0"/>
    <w:rsid w:val="000438F9"/>
    <w:rsid w:val="000439DD"/>
    <w:rsid w:val="00043A89"/>
    <w:rsid w:val="00043B46"/>
    <w:rsid w:val="00043E35"/>
    <w:rsid w:val="000446F0"/>
    <w:rsid w:val="00044F44"/>
    <w:rsid w:val="000454EA"/>
    <w:rsid w:val="00045B28"/>
    <w:rsid w:val="00046954"/>
    <w:rsid w:val="00047EAD"/>
    <w:rsid w:val="000508E7"/>
    <w:rsid w:val="0005103C"/>
    <w:rsid w:val="000515CF"/>
    <w:rsid w:val="0005209E"/>
    <w:rsid w:val="00053196"/>
    <w:rsid w:val="00053252"/>
    <w:rsid w:val="0005460D"/>
    <w:rsid w:val="00054BB7"/>
    <w:rsid w:val="00054C5A"/>
    <w:rsid w:val="00055F25"/>
    <w:rsid w:val="00055FB6"/>
    <w:rsid w:val="00056FD8"/>
    <w:rsid w:val="00057259"/>
    <w:rsid w:val="00057339"/>
    <w:rsid w:val="00060393"/>
    <w:rsid w:val="00063211"/>
    <w:rsid w:val="0006365C"/>
    <w:rsid w:val="000636EC"/>
    <w:rsid w:val="00063C43"/>
    <w:rsid w:val="00064D84"/>
    <w:rsid w:val="00064F87"/>
    <w:rsid w:val="00064FC0"/>
    <w:rsid w:val="000654C4"/>
    <w:rsid w:val="00065AC6"/>
    <w:rsid w:val="00066EC2"/>
    <w:rsid w:val="0007050A"/>
    <w:rsid w:val="00071682"/>
    <w:rsid w:val="000723DC"/>
    <w:rsid w:val="00074D79"/>
    <w:rsid w:val="00075170"/>
    <w:rsid w:val="000758E8"/>
    <w:rsid w:val="00076269"/>
    <w:rsid w:val="00076CE0"/>
    <w:rsid w:val="00077EB4"/>
    <w:rsid w:val="00080459"/>
    <w:rsid w:val="00080695"/>
    <w:rsid w:val="00081295"/>
    <w:rsid w:val="0008140A"/>
    <w:rsid w:val="00081C77"/>
    <w:rsid w:val="000828EE"/>
    <w:rsid w:val="000832C6"/>
    <w:rsid w:val="0008398D"/>
    <w:rsid w:val="00085F3F"/>
    <w:rsid w:val="000864E0"/>
    <w:rsid w:val="000867FD"/>
    <w:rsid w:val="0009049E"/>
    <w:rsid w:val="000911AD"/>
    <w:rsid w:val="00092B47"/>
    <w:rsid w:val="00093530"/>
    <w:rsid w:val="00093FAA"/>
    <w:rsid w:val="000940BC"/>
    <w:rsid w:val="0009569E"/>
    <w:rsid w:val="00097659"/>
    <w:rsid w:val="000A0034"/>
    <w:rsid w:val="000A3C67"/>
    <w:rsid w:val="000A47F2"/>
    <w:rsid w:val="000A535F"/>
    <w:rsid w:val="000A621D"/>
    <w:rsid w:val="000A681B"/>
    <w:rsid w:val="000B2199"/>
    <w:rsid w:val="000B2418"/>
    <w:rsid w:val="000B27B2"/>
    <w:rsid w:val="000B3BBF"/>
    <w:rsid w:val="000B624B"/>
    <w:rsid w:val="000B6305"/>
    <w:rsid w:val="000B698A"/>
    <w:rsid w:val="000B7176"/>
    <w:rsid w:val="000B7A58"/>
    <w:rsid w:val="000C1D4B"/>
    <w:rsid w:val="000C427E"/>
    <w:rsid w:val="000C4B5B"/>
    <w:rsid w:val="000C632F"/>
    <w:rsid w:val="000C73F0"/>
    <w:rsid w:val="000C7E51"/>
    <w:rsid w:val="000D0152"/>
    <w:rsid w:val="000D0C25"/>
    <w:rsid w:val="000D1FA8"/>
    <w:rsid w:val="000D2611"/>
    <w:rsid w:val="000D3069"/>
    <w:rsid w:val="000D47BE"/>
    <w:rsid w:val="000D4F14"/>
    <w:rsid w:val="000D6E75"/>
    <w:rsid w:val="000E04C7"/>
    <w:rsid w:val="000E110E"/>
    <w:rsid w:val="000E187A"/>
    <w:rsid w:val="000E1B56"/>
    <w:rsid w:val="000E2C25"/>
    <w:rsid w:val="000E3FE6"/>
    <w:rsid w:val="000E426A"/>
    <w:rsid w:val="000E4429"/>
    <w:rsid w:val="000E46E5"/>
    <w:rsid w:val="000E5832"/>
    <w:rsid w:val="000E74AA"/>
    <w:rsid w:val="000F3187"/>
    <w:rsid w:val="000F4559"/>
    <w:rsid w:val="000F5708"/>
    <w:rsid w:val="000F59D0"/>
    <w:rsid w:val="000F5D22"/>
    <w:rsid w:val="000F6728"/>
    <w:rsid w:val="000F684F"/>
    <w:rsid w:val="000F7197"/>
    <w:rsid w:val="00101C0C"/>
    <w:rsid w:val="001023D1"/>
    <w:rsid w:val="00102F08"/>
    <w:rsid w:val="00103024"/>
    <w:rsid w:val="0010325A"/>
    <w:rsid w:val="00103936"/>
    <w:rsid w:val="0010508C"/>
    <w:rsid w:val="00106B0D"/>
    <w:rsid w:val="00106C61"/>
    <w:rsid w:val="00107030"/>
    <w:rsid w:val="00107455"/>
    <w:rsid w:val="00107826"/>
    <w:rsid w:val="00107A4F"/>
    <w:rsid w:val="001121C4"/>
    <w:rsid w:val="001148BE"/>
    <w:rsid w:val="0011491E"/>
    <w:rsid w:val="00115BE0"/>
    <w:rsid w:val="00116697"/>
    <w:rsid w:val="00116779"/>
    <w:rsid w:val="001178C5"/>
    <w:rsid w:val="00120AC0"/>
    <w:rsid w:val="00121DAB"/>
    <w:rsid w:val="001229B6"/>
    <w:rsid w:val="001230B8"/>
    <w:rsid w:val="00123996"/>
    <w:rsid w:val="00124301"/>
    <w:rsid w:val="00125619"/>
    <w:rsid w:val="00125FA6"/>
    <w:rsid w:val="001265E0"/>
    <w:rsid w:val="00127A00"/>
    <w:rsid w:val="00130A50"/>
    <w:rsid w:val="001318FF"/>
    <w:rsid w:val="00131B05"/>
    <w:rsid w:val="001322E7"/>
    <w:rsid w:val="001328DB"/>
    <w:rsid w:val="00135097"/>
    <w:rsid w:val="001355E9"/>
    <w:rsid w:val="00135DD4"/>
    <w:rsid w:val="00136723"/>
    <w:rsid w:val="001371DB"/>
    <w:rsid w:val="001400FC"/>
    <w:rsid w:val="00140361"/>
    <w:rsid w:val="00141524"/>
    <w:rsid w:val="0014175D"/>
    <w:rsid w:val="001417FF"/>
    <w:rsid w:val="00144847"/>
    <w:rsid w:val="001462F7"/>
    <w:rsid w:val="0014730D"/>
    <w:rsid w:val="00147B30"/>
    <w:rsid w:val="001508EB"/>
    <w:rsid w:val="00153286"/>
    <w:rsid w:val="00153299"/>
    <w:rsid w:val="00153D04"/>
    <w:rsid w:val="001545A8"/>
    <w:rsid w:val="00155397"/>
    <w:rsid w:val="001553B2"/>
    <w:rsid w:val="001556B0"/>
    <w:rsid w:val="001561F6"/>
    <w:rsid w:val="00156421"/>
    <w:rsid w:val="00156707"/>
    <w:rsid w:val="001572EF"/>
    <w:rsid w:val="00157B36"/>
    <w:rsid w:val="0016026B"/>
    <w:rsid w:val="00163D4B"/>
    <w:rsid w:val="00165366"/>
    <w:rsid w:val="001660A0"/>
    <w:rsid w:val="00166461"/>
    <w:rsid w:val="00166B1F"/>
    <w:rsid w:val="00166BA7"/>
    <w:rsid w:val="00166BE1"/>
    <w:rsid w:val="00166F8A"/>
    <w:rsid w:val="00167155"/>
    <w:rsid w:val="00167D43"/>
    <w:rsid w:val="00167F04"/>
    <w:rsid w:val="001730FC"/>
    <w:rsid w:val="001737B8"/>
    <w:rsid w:val="00173A05"/>
    <w:rsid w:val="00174342"/>
    <w:rsid w:val="00175487"/>
    <w:rsid w:val="00175DD4"/>
    <w:rsid w:val="00177004"/>
    <w:rsid w:val="0018032B"/>
    <w:rsid w:val="001807C7"/>
    <w:rsid w:val="00180875"/>
    <w:rsid w:val="001812B4"/>
    <w:rsid w:val="001822A3"/>
    <w:rsid w:val="00182702"/>
    <w:rsid w:val="00182A98"/>
    <w:rsid w:val="00182CDD"/>
    <w:rsid w:val="00183EC8"/>
    <w:rsid w:val="001843F0"/>
    <w:rsid w:val="00184DD8"/>
    <w:rsid w:val="0018759B"/>
    <w:rsid w:val="00187AE1"/>
    <w:rsid w:val="00187C7B"/>
    <w:rsid w:val="001909B0"/>
    <w:rsid w:val="00191804"/>
    <w:rsid w:val="00191FF4"/>
    <w:rsid w:val="0019341C"/>
    <w:rsid w:val="00193E4D"/>
    <w:rsid w:val="001951A5"/>
    <w:rsid w:val="001A035D"/>
    <w:rsid w:val="001A0515"/>
    <w:rsid w:val="001A090F"/>
    <w:rsid w:val="001A0A66"/>
    <w:rsid w:val="001A11EB"/>
    <w:rsid w:val="001A136B"/>
    <w:rsid w:val="001A353D"/>
    <w:rsid w:val="001A3B85"/>
    <w:rsid w:val="001A52B1"/>
    <w:rsid w:val="001A7B90"/>
    <w:rsid w:val="001A7FAD"/>
    <w:rsid w:val="001B0A01"/>
    <w:rsid w:val="001B1C88"/>
    <w:rsid w:val="001B2A24"/>
    <w:rsid w:val="001B353F"/>
    <w:rsid w:val="001B3723"/>
    <w:rsid w:val="001B3815"/>
    <w:rsid w:val="001B3CC6"/>
    <w:rsid w:val="001B52B7"/>
    <w:rsid w:val="001B5495"/>
    <w:rsid w:val="001B6303"/>
    <w:rsid w:val="001B7EA8"/>
    <w:rsid w:val="001C0FAA"/>
    <w:rsid w:val="001C1053"/>
    <w:rsid w:val="001C1FD6"/>
    <w:rsid w:val="001C250E"/>
    <w:rsid w:val="001C257E"/>
    <w:rsid w:val="001C3986"/>
    <w:rsid w:val="001C4DAA"/>
    <w:rsid w:val="001C59BA"/>
    <w:rsid w:val="001C5F21"/>
    <w:rsid w:val="001C614D"/>
    <w:rsid w:val="001C6868"/>
    <w:rsid w:val="001C68D6"/>
    <w:rsid w:val="001C7494"/>
    <w:rsid w:val="001C75A1"/>
    <w:rsid w:val="001C7903"/>
    <w:rsid w:val="001D1001"/>
    <w:rsid w:val="001D111D"/>
    <w:rsid w:val="001D16BF"/>
    <w:rsid w:val="001D1E0F"/>
    <w:rsid w:val="001D31AA"/>
    <w:rsid w:val="001D395C"/>
    <w:rsid w:val="001D3DDA"/>
    <w:rsid w:val="001D45D0"/>
    <w:rsid w:val="001D50F8"/>
    <w:rsid w:val="001D520D"/>
    <w:rsid w:val="001D5DD0"/>
    <w:rsid w:val="001D5E5B"/>
    <w:rsid w:val="001D696C"/>
    <w:rsid w:val="001D7210"/>
    <w:rsid w:val="001D7559"/>
    <w:rsid w:val="001E1BE6"/>
    <w:rsid w:val="001E4D59"/>
    <w:rsid w:val="001E4D5C"/>
    <w:rsid w:val="001E4FC0"/>
    <w:rsid w:val="001E5142"/>
    <w:rsid w:val="001E763B"/>
    <w:rsid w:val="001E791C"/>
    <w:rsid w:val="001E7CFE"/>
    <w:rsid w:val="001F0865"/>
    <w:rsid w:val="001F0A55"/>
    <w:rsid w:val="001F1827"/>
    <w:rsid w:val="001F1A71"/>
    <w:rsid w:val="001F2A58"/>
    <w:rsid w:val="001F3E8B"/>
    <w:rsid w:val="001F3EF7"/>
    <w:rsid w:val="001F4169"/>
    <w:rsid w:val="001F508B"/>
    <w:rsid w:val="001F5AE1"/>
    <w:rsid w:val="001F5F97"/>
    <w:rsid w:val="001F608E"/>
    <w:rsid w:val="001F614A"/>
    <w:rsid w:val="001F62E0"/>
    <w:rsid w:val="001F6935"/>
    <w:rsid w:val="002003AA"/>
    <w:rsid w:val="00200507"/>
    <w:rsid w:val="002010B4"/>
    <w:rsid w:val="0020141E"/>
    <w:rsid w:val="00201940"/>
    <w:rsid w:val="002025E3"/>
    <w:rsid w:val="00202631"/>
    <w:rsid w:val="00203904"/>
    <w:rsid w:val="0020619B"/>
    <w:rsid w:val="00206C19"/>
    <w:rsid w:val="0021095E"/>
    <w:rsid w:val="0021244E"/>
    <w:rsid w:val="00213173"/>
    <w:rsid w:val="00214985"/>
    <w:rsid w:val="002152CB"/>
    <w:rsid w:val="00215736"/>
    <w:rsid w:val="00215E61"/>
    <w:rsid w:val="00216768"/>
    <w:rsid w:val="00216EF5"/>
    <w:rsid w:val="00220173"/>
    <w:rsid w:val="00220912"/>
    <w:rsid w:val="00221120"/>
    <w:rsid w:val="002221AC"/>
    <w:rsid w:val="002225A0"/>
    <w:rsid w:val="00223AAE"/>
    <w:rsid w:val="00224659"/>
    <w:rsid w:val="00225AAD"/>
    <w:rsid w:val="00226063"/>
    <w:rsid w:val="002269DE"/>
    <w:rsid w:val="00226FA1"/>
    <w:rsid w:val="00227038"/>
    <w:rsid w:val="00227C69"/>
    <w:rsid w:val="00227CE5"/>
    <w:rsid w:val="0023008E"/>
    <w:rsid w:val="0023082F"/>
    <w:rsid w:val="002308FF"/>
    <w:rsid w:val="00231986"/>
    <w:rsid w:val="0023250F"/>
    <w:rsid w:val="0023351B"/>
    <w:rsid w:val="00235382"/>
    <w:rsid w:val="002354AE"/>
    <w:rsid w:val="0023584F"/>
    <w:rsid w:val="00236370"/>
    <w:rsid w:val="00236F3C"/>
    <w:rsid w:val="002373B1"/>
    <w:rsid w:val="00240E3A"/>
    <w:rsid w:val="002411CD"/>
    <w:rsid w:val="00241B98"/>
    <w:rsid w:val="002421A4"/>
    <w:rsid w:val="00243F29"/>
    <w:rsid w:val="002446C2"/>
    <w:rsid w:val="00246067"/>
    <w:rsid w:val="002467CC"/>
    <w:rsid w:val="0025062C"/>
    <w:rsid w:val="00251478"/>
    <w:rsid w:val="002531EA"/>
    <w:rsid w:val="00255333"/>
    <w:rsid w:val="002555A6"/>
    <w:rsid w:val="0025589B"/>
    <w:rsid w:val="00255F88"/>
    <w:rsid w:val="002574EA"/>
    <w:rsid w:val="00257C76"/>
    <w:rsid w:val="00261EFC"/>
    <w:rsid w:val="00262824"/>
    <w:rsid w:val="00263629"/>
    <w:rsid w:val="00263BEA"/>
    <w:rsid w:val="0026482A"/>
    <w:rsid w:val="00265678"/>
    <w:rsid w:val="0026688E"/>
    <w:rsid w:val="00266FA4"/>
    <w:rsid w:val="00267110"/>
    <w:rsid w:val="00267C9D"/>
    <w:rsid w:val="00267E9E"/>
    <w:rsid w:val="00271C0C"/>
    <w:rsid w:val="00271C5F"/>
    <w:rsid w:val="00271F7D"/>
    <w:rsid w:val="00273561"/>
    <w:rsid w:val="00274257"/>
    <w:rsid w:val="00274D72"/>
    <w:rsid w:val="002759C6"/>
    <w:rsid w:val="00275CA9"/>
    <w:rsid w:val="00277A4B"/>
    <w:rsid w:val="0028138F"/>
    <w:rsid w:val="00281B02"/>
    <w:rsid w:val="00281DEC"/>
    <w:rsid w:val="0028315C"/>
    <w:rsid w:val="00283A0D"/>
    <w:rsid w:val="00284961"/>
    <w:rsid w:val="00284E0D"/>
    <w:rsid w:val="00285C23"/>
    <w:rsid w:val="002861CE"/>
    <w:rsid w:val="00286FCC"/>
    <w:rsid w:val="002870B6"/>
    <w:rsid w:val="002872B8"/>
    <w:rsid w:val="00287618"/>
    <w:rsid w:val="00287A54"/>
    <w:rsid w:val="00287D4C"/>
    <w:rsid w:val="00287D66"/>
    <w:rsid w:val="00287F2F"/>
    <w:rsid w:val="00290A49"/>
    <w:rsid w:val="00290D9A"/>
    <w:rsid w:val="00291093"/>
    <w:rsid w:val="00291739"/>
    <w:rsid w:val="00292024"/>
    <w:rsid w:val="00293474"/>
    <w:rsid w:val="00293775"/>
    <w:rsid w:val="0029588C"/>
    <w:rsid w:val="00295E57"/>
    <w:rsid w:val="00296057"/>
    <w:rsid w:val="00297662"/>
    <w:rsid w:val="002976F1"/>
    <w:rsid w:val="00297783"/>
    <w:rsid w:val="002978D6"/>
    <w:rsid w:val="002A07E5"/>
    <w:rsid w:val="002A1C13"/>
    <w:rsid w:val="002A255D"/>
    <w:rsid w:val="002A2FD2"/>
    <w:rsid w:val="002A32A0"/>
    <w:rsid w:val="002A3393"/>
    <w:rsid w:val="002A35A3"/>
    <w:rsid w:val="002A364F"/>
    <w:rsid w:val="002A3739"/>
    <w:rsid w:val="002A3B34"/>
    <w:rsid w:val="002A3F91"/>
    <w:rsid w:val="002A425C"/>
    <w:rsid w:val="002A462E"/>
    <w:rsid w:val="002A4B61"/>
    <w:rsid w:val="002A530C"/>
    <w:rsid w:val="002A66AE"/>
    <w:rsid w:val="002A6B44"/>
    <w:rsid w:val="002A6C94"/>
    <w:rsid w:val="002A70F9"/>
    <w:rsid w:val="002A72A0"/>
    <w:rsid w:val="002A72BD"/>
    <w:rsid w:val="002A777E"/>
    <w:rsid w:val="002B09E9"/>
    <w:rsid w:val="002B0BDF"/>
    <w:rsid w:val="002B0F3C"/>
    <w:rsid w:val="002B13FB"/>
    <w:rsid w:val="002B186F"/>
    <w:rsid w:val="002B34D7"/>
    <w:rsid w:val="002B4A06"/>
    <w:rsid w:val="002B4B5D"/>
    <w:rsid w:val="002B4CA4"/>
    <w:rsid w:val="002B5E08"/>
    <w:rsid w:val="002B764C"/>
    <w:rsid w:val="002C0714"/>
    <w:rsid w:val="002C1194"/>
    <w:rsid w:val="002C298D"/>
    <w:rsid w:val="002C2B3F"/>
    <w:rsid w:val="002C31E4"/>
    <w:rsid w:val="002C4706"/>
    <w:rsid w:val="002C49A7"/>
    <w:rsid w:val="002C4A93"/>
    <w:rsid w:val="002C5EEE"/>
    <w:rsid w:val="002C615E"/>
    <w:rsid w:val="002C6F99"/>
    <w:rsid w:val="002C79F9"/>
    <w:rsid w:val="002D0708"/>
    <w:rsid w:val="002D146D"/>
    <w:rsid w:val="002D1A7E"/>
    <w:rsid w:val="002D29D7"/>
    <w:rsid w:val="002D2A1B"/>
    <w:rsid w:val="002D3F32"/>
    <w:rsid w:val="002D41DF"/>
    <w:rsid w:val="002D43AA"/>
    <w:rsid w:val="002D58D1"/>
    <w:rsid w:val="002D598D"/>
    <w:rsid w:val="002D66E3"/>
    <w:rsid w:val="002D6E3C"/>
    <w:rsid w:val="002D6ECC"/>
    <w:rsid w:val="002E0E78"/>
    <w:rsid w:val="002E1821"/>
    <w:rsid w:val="002E227B"/>
    <w:rsid w:val="002E2C2F"/>
    <w:rsid w:val="002E33E2"/>
    <w:rsid w:val="002E3B0A"/>
    <w:rsid w:val="002E41B6"/>
    <w:rsid w:val="002E53D6"/>
    <w:rsid w:val="002E6F43"/>
    <w:rsid w:val="002E7947"/>
    <w:rsid w:val="002F01BD"/>
    <w:rsid w:val="002F06B0"/>
    <w:rsid w:val="002F09F4"/>
    <w:rsid w:val="002F2384"/>
    <w:rsid w:val="002F24DE"/>
    <w:rsid w:val="002F4EB6"/>
    <w:rsid w:val="002F56F3"/>
    <w:rsid w:val="002F5961"/>
    <w:rsid w:val="002F5B7B"/>
    <w:rsid w:val="002F6606"/>
    <w:rsid w:val="002F68F3"/>
    <w:rsid w:val="002F6F7C"/>
    <w:rsid w:val="002F761F"/>
    <w:rsid w:val="0030040D"/>
    <w:rsid w:val="00300546"/>
    <w:rsid w:val="003010D7"/>
    <w:rsid w:val="003019F4"/>
    <w:rsid w:val="003024CC"/>
    <w:rsid w:val="0030280C"/>
    <w:rsid w:val="00303AC7"/>
    <w:rsid w:val="00304B8F"/>
    <w:rsid w:val="0030501D"/>
    <w:rsid w:val="003051CB"/>
    <w:rsid w:val="00307B75"/>
    <w:rsid w:val="00310163"/>
    <w:rsid w:val="00310BB2"/>
    <w:rsid w:val="00311AFD"/>
    <w:rsid w:val="00311CCF"/>
    <w:rsid w:val="00311FD7"/>
    <w:rsid w:val="003124F0"/>
    <w:rsid w:val="00312A73"/>
    <w:rsid w:val="00312B47"/>
    <w:rsid w:val="00312FC4"/>
    <w:rsid w:val="00313F9A"/>
    <w:rsid w:val="00316B2C"/>
    <w:rsid w:val="00316F57"/>
    <w:rsid w:val="003178EF"/>
    <w:rsid w:val="0031798F"/>
    <w:rsid w:val="00320A7C"/>
    <w:rsid w:val="00320AA4"/>
    <w:rsid w:val="00321121"/>
    <w:rsid w:val="00322177"/>
    <w:rsid w:val="00322A65"/>
    <w:rsid w:val="00322E29"/>
    <w:rsid w:val="00323389"/>
    <w:rsid w:val="00324852"/>
    <w:rsid w:val="003250CC"/>
    <w:rsid w:val="003250FF"/>
    <w:rsid w:val="0032551E"/>
    <w:rsid w:val="00325995"/>
    <w:rsid w:val="00326E5E"/>
    <w:rsid w:val="0033028F"/>
    <w:rsid w:val="0033095A"/>
    <w:rsid w:val="00331B40"/>
    <w:rsid w:val="00331E4F"/>
    <w:rsid w:val="003322B3"/>
    <w:rsid w:val="00332CED"/>
    <w:rsid w:val="00332FB2"/>
    <w:rsid w:val="00335646"/>
    <w:rsid w:val="00335FEF"/>
    <w:rsid w:val="00336659"/>
    <w:rsid w:val="003371E8"/>
    <w:rsid w:val="003376AA"/>
    <w:rsid w:val="0033780E"/>
    <w:rsid w:val="003402D4"/>
    <w:rsid w:val="003405A4"/>
    <w:rsid w:val="00340704"/>
    <w:rsid w:val="00340AA4"/>
    <w:rsid w:val="003414D1"/>
    <w:rsid w:val="0034263F"/>
    <w:rsid w:val="00343D7D"/>
    <w:rsid w:val="0034471B"/>
    <w:rsid w:val="00345D02"/>
    <w:rsid w:val="00345F66"/>
    <w:rsid w:val="003462B1"/>
    <w:rsid w:val="00346651"/>
    <w:rsid w:val="003467EA"/>
    <w:rsid w:val="003471B0"/>
    <w:rsid w:val="00350957"/>
    <w:rsid w:val="00350C61"/>
    <w:rsid w:val="00351E49"/>
    <w:rsid w:val="00352956"/>
    <w:rsid w:val="00352BD2"/>
    <w:rsid w:val="00352FAF"/>
    <w:rsid w:val="00354B32"/>
    <w:rsid w:val="00355134"/>
    <w:rsid w:val="003553F7"/>
    <w:rsid w:val="00356C67"/>
    <w:rsid w:val="00357D24"/>
    <w:rsid w:val="00360BCB"/>
    <w:rsid w:val="00360DD5"/>
    <w:rsid w:val="003625A0"/>
    <w:rsid w:val="00363C85"/>
    <w:rsid w:val="003675D1"/>
    <w:rsid w:val="00367807"/>
    <w:rsid w:val="00370066"/>
    <w:rsid w:val="003701F3"/>
    <w:rsid w:val="00373591"/>
    <w:rsid w:val="003769B1"/>
    <w:rsid w:val="00376CAA"/>
    <w:rsid w:val="00377B9C"/>
    <w:rsid w:val="00377C99"/>
    <w:rsid w:val="00377D9D"/>
    <w:rsid w:val="0038084A"/>
    <w:rsid w:val="00380BDE"/>
    <w:rsid w:val="00381215"/>
    <w:rsid w:val="00381A47"/>
    <w:rsid w:val="003825BF"/>
    <w:rsid w:val="00384F2E"/>
    <w:rsid w:val="00385211"/>
    <w:rsid w:val="00386640"/>
    <w:rsid w:val="00386781"/>
    <w:rsid w:val="00386999"/>
    <w:rsid w:val="00386EE7"/>
    <w:rsid w:val="00390654"/>
    <w:rsid w:val="003906E8"/>
    <w:rsid w:val="003915FF"/>
    <w:rsid w:val="003916C5"/>
    <w:rsid w:val="00391C1E"/>
    <w:rsid w:val="00392F60"/>
    <w:rsid w:val="00393CE7"/>
    <w:rsid w:val="003940D1"/>
    <w:rsid w:val="0039452F"/>
    <w:rsid w:val="00394F0A"/>
    <w:rsid w:val="0039564D"/>
    <w:rsid w:val="00395A01"/>
    <w:rsid w:val="00397FDA"/>
    <w:rsid w:val="003A2D71"/>
    <w:rsid w:val="003A3A3E"/>
    <w:rsid w:val="003A5426"/>
    <w:rsid w:val="003A6005"/>
    <w:rsid w:val="003A6A49"/>
    <w:rsid w:val="003A6B45"/>
    <w:rsid w:val="003A6CA2"/>
    <w:rsid w:val="003A724A"/>
    <w:rsid w:val="003A7B36"/>
    <w:rsid w:val="003B2427"/>
    <w:rsid w:val="003B26D5"/>
    <w:rsid w:val="003B28D7"/>
    <w:rsid w:val="003B2BF9"/>
    <w:rsid w:val="003B3811"/>
    <w:rsid w:val="003B5147"/>
    <w:rsid w:val="003B5349"/>
    <w:rsid w:val="003B550A"/>
    <w:rsid w:val="003B5DED"/>
    <w:rsid w:val="003B5E2C"/>
    <w:rsid w:val="003B65EA"/>
    <w:rsid w:val="003B66DA"/>
    <w:rsid w:val="003C036C"/>
    <w:rsid w:val="003C1337"/>
    <w:rsid w:val="003C2229"/>
    <w:rsid w:val="003C23F9"/>
    <w:rsid w:val="003C2E23"/>
    <w:rsid w:val="003C2ED5"/>
    <w:rsid w:val="003C3B13"/>
    <w:rsid w:val="003C6836"/>
    <w:rsid w:val="003C737C"/>
    <w:rsid w:val="003C7430"/>
    <w:rsid w:val="003C7ABD"/>
    <w:rsid w:val="003D008A"/>
    <w:rsid w:val="003D0461"/>
    <w:rsid w:val="003D10C9"/>
    <w:rsid w:val="003D13F2"/>
    <w:rsid w:val="003D1D79"/>
    <w:rsid w:val="003D20DD"/>
    <w:rsid w:val="003D31F2"/>
    <w:rsid w:val="003D3F8E"/>
    <w:rsid w:val="003D52B6"/>
    <w:rsid w:val="003D52FD"/>
    <w:rsid w:val="003D5F2E"/>
    <w:rsid w:val="003D6582"/>
    <w:rsid w:val="003D7292"/>
    <w:rsid w:val="003D729E"/>
    <w:rsid w:val="003E0270"/>
    <w:rsid w:val="003E0A30"/>
    <w:rsid w:val="003E0B3B"/>
    <w:rsid w:val="003E13E0"/>
    <w:rsid w:val="003E1DA2"/>
    <w:rsid w:val="003E2BCD"/>
    <w:rsid w:val="003E3FF1"/>
    <w:rsid w:val="003E4009"/>
    <w:rsid w:val="003E58AF"/>
    <w:rsid w:val="003E5CFC"/>
    <w:rsid w:val="003E66CC"/>
    <w:rsid w:val="003E67F8"/>
    <w:rsid w:val="003F11D8"/>
    <w:rsid w:val="003F43B8"/>
    <w:rsid w:val="003F4633"/>
    <w:rsid w:val="003F47B4"/>
    <w:rsid w:val="003F4D27"/>
    <w:rsid w:val="003F4DFD"/>
    <w:rsid w:val="003F4FFA"/>
    <w:rsid w:val="003F545D"/>
    <w:rsid w:val="003F5F5F"/>
    <w:rsid w:val="003F62C1"/>
    <w:rsid w:val="003F7206"/>
    <w:rsid w:val="003F7757"/>
    <w:rsid w:val="003F7C22"/>
    <w:rsid w:val="003F7CC2"/>
    <w:rsid w:val="0040065A"/>
    <w:rsid w:val="00400894"/>
    <w:rsid w:val="0040126F"/>
    <w:rsid w:val="00402AD4"/>
    <w:rsid w:val="00402AF5"/>
    <w:rsid w:val="00405330"/>
    <w:rsid w:val="0040564E"/>
    <w:rsid w:val="00405B86"/>
    <w:rsid w:val="004064BA"/>
    <w:rsid w:val="004100A8"/>
    <w:rsid w:val="004101F8"/>
    <w:rsid w:val="00411421"/>
    <w:rsid w:val="00412065"/>
    <w:rsid w:val="0041404C"/>
    <w:rsid w:val="004148F6"/>
    <w:rsid w:val="00416436"/>
    <w:rsid w:val="00416F6C"/>
    <w:rsid w:val="00417346"/>
    <w:rsid w:val="00417E93"/>
    <w:rsid w:val="00420648"/>
    <w:rsid w:val="004210E6"/>
    <w:rsid w:val="00421D34"/>
    <w:rsid w:val="00422B55"/>
    <w:rsid w:val="0042377D"/>
    <w:rsid w:val="004238A0"/>
    <w:rsid w:val="00423A4E"/>
    <w:rsid w:val="00423B5C"/>
    <w:rsid w:val="004242E1"/>
    <w:rsid w:val="00424789"/>
    <w:rsid w:val="004274BF"/>
    <w:rsid w:val="0043107A"/>
    <w:rsid w:val="004316AA"/>
    <w:rsid w:val="00431E5A"/>
    <w:rsid w:val="00434057"/>
    <w:rsid w:val="0043412B"/>
    <w:rsid w:val="00434F4C"/>
    <w:rsid w:val="00436182"/>
    <w:rsid w:val="0043743C"/>
    <w:rsid w:val="0043769A"/>
    <w:rsid w:val="00440DE4"/>
    <w:rsid w:val="004419DE"/>
    <w:rsid w:val="004419ED"/>
    <w:rsid w:val="0044280E"/>
    <w:rsid w:val="00443115"/>
    <w:rsid w:val="004437DD"/>
    <w:rsid w:val="0044476D"/>
    <w:rsid w:val="00444BF6"/>
    <w:rsid w:val="004450E3"/>
    <w:rsid w:val="00445BF5"/>
    <w:rsid w:val="00446452"/>
    <w:rsid w:val="004468A3"/>
    <w:rsid w:val="0044694D"/>
    <w:rsid w:val="004476B2"/>
    <w:rsid w:val="00450CD2"/>
    <w:rsid w:val="00451943"/>
    <w:rsid w:val="00452483"/>
    <w:rsid w:val="00452BF6"/>
    <w:rsid w:val="00453EC3"/>
    <w:rsid w:val="004551B0"/>
    <w:rsid w:val="00457625"/>
    <w:rsid w:val="0046067C"/>
    <w:rsid w:val="00460E63"/>
    <w:rsid w:val="00461AAA"/>
    <w:rsid w:val="00462CA1"/>
    <w:rsid w:val="00462CBE"/>
    <w:rsid w:val="00462EA1"/>
    <w:rsid w:val="004647D0"/>
    <w:rsid w:val="00465DA7"/>
    <w:rsid w:val="00466DE2"/>
    <w:rsid w:val="004672B9"/>
    <w:rsid w:val="00467D2C"/>
    <w:rsid w:val="00471086"/>
    <w:rsid w:val="004719DD"/>
    <w:rsid w:val="00473A4D"/>
    <w:rsid w:val="004743E3"/>
    <w:rsid w:val="00474EEB"/>
    <w:rsid w:val="00474F6C"/>
    <w:rsid w:val="00475CA6"/>
    <w:rsid w:val="0047671E"/>
    <w:rsid w:val="00476EDD"/>
    <w:rsid w:val="00477762"/>
    <w:rsid w:val="00477C0F"/>
    <w:rsid w:val="004804A0"/>
    <w:rsid w:val="00481D69"/>
    <w:rsid w:val="004825B6"/>
    <w:rsid w:val="004829CC"/>
    <w:rsid w:val="00483C5D"/>
    <w:rsid w:val="00484165"/>
    <w:rsid w:val="0048571C"/>
    <w:rsid w:val="0048593C"/>
    <w:rsid w:val="0048693A"/>
    <w:rsid w:val="004869A0"/>
    <w:rsid w:val="004903D5"/>
    <w:rsid w:val="00491982"/>
    <w:rsid w:val="00493214"/>
    <w:rsid w:val="00494EC2"/>
    <w:rsid w:val="00495DA9"/>
    <w:rsid w:val="0049662D"/>
    <w:rsid w:val="004A0818"/>
    <w:rsid w:val="004A2234"/>
    <w:rsid w:val="004A22DE"/>
    <w:rsid w:val="004A3336"/>
    <w:rsid w:val="004A3BBF"/>
    <w:rsid w:val="004A4BD8"/>
    <w:rsid w:val="004A5665"/>
    <w:rsid w:val="004A6B0D"/>
    <w:rsid w:val="004A7DA8"/>
    <w:rsid w:val="004B0B9C"/>
    <w:rsid w:val="004B0CC1"/>
    <w:rsid w:val="004B1601"/>
    <w:rsid w:val="004B1838"/>
    <w:rsid w:val="004B19DF"/>
    <w:rsid w:val="004B2143"/>
    <w:rsid w:val="004B2365"/>
    <w:rsid w:val="004B23D1"/>
    <w:rsid w:val="004B23F8"/>
    <w:rsid w:val="004B3B22"/>
    <w:rsid w:val="004B4496"/>
    <w:rsid w:val="004B4B00"/>
    <w:rsid w:val="004B4F18"/>
    <w:rsid w:val="004B5FD4"/>
    <w:rsid w:val="004B66E9"/>
    <w:rsid w:val="004B70CD"/>
    <w:rsid w:val="004C086E"/>
    <w:rsid w:val="004C09C8"/>
    <w:rsid w:val="004C0DCA"/>
    <w:rsid w:val="004C15AB"/>
    <w:rsid w:val="004C394E"/>
    <w:rsid w:val="004C42F6"/>
    <w:rsid w:val="004C67E4"/>
    <w:rsid w:val="004C6CCF"/>
    <w:rsid w:val="004C71C0"/>
    <w:rsid w:val="004C77DE"/>
    <w:rsid w:val="004D05E4"/>
    <w:rsid w:val="004D189A"/>
    <w:rsid w:val="004D1D6E"/>
    <w:rsid w:val="004D2043"/>
    <w:rsid w:val="004D20EF"/>
    <w:rsid w:val="004D23D6"/>
    <w:rsid w:val="004D26AD"/>
    <w:rsid w:val="004D2879"/>
    <w:rsid w:val="004D2EC0"/>
    <w:rsid w:val="004D3674"/>
    <w:rsid w:val="004D4DA6"/>
    <w:rsid w:val="004D524C"/>
    <w:rsid w:val="004D57B7"/>
    <w:rsid w:val="004D5DBB"/>
    <w:rsid w:val="004E0820"/>
    <w:rsid w:val="004E2A94"/>
    <w:rsid w:val="004E373A"/>
    <w:rsid w:val="004E3E3A"/>
    <w:rsid w:val="004E44C9"/>
    <w:rsid w:val="004E4562"/>
    <w:rsid w:val="004E4866"/>
    <w:rsid w:val="004E6BC5"/>
    <w:rsid w:val="004E6CB7"/>
    <w:rsid w:val="004E6CE9"/>
    <w:rsid w:val="004E745D"/>
    <w:rsid w:val="004E783F"/>
    <w:rsid w:val="004F359B"/>
    <w:rsid w:val="004F4604"/>
    <w:rsid w:val="004F5555"/>
    <w:rsid w:val="004F584D"/>
    <w:rsid w:val="004F72CE"/>
    <w:rsid w:val="004F761C"/>
    <w:rsid w:val="00500034"/>
    <w:rsid w:val="00500EDB"/>
    <w:rsid w:val="005016C5"/>
    <w:rsid w:val="0050176B"/>
    <w:rsid w:val="00501928"/>
    <w:rsid w:val="00503107"/>
    <w:rsid w:val="0050388E"/>
    <w:rsid w:val="00503D0B"/>
    <w:rsid w:val="0050438D"/>
    <w:rsid w:val="00504610"/>
    <w:rsid w:val="005046B0"/>
    <w:rsid w:val="0050488F"/>
    <w:rsid w:val="00504AC5"/>
    <w:rsid w:val="00504C77"/>
    <w:rsid w:val="00505492"/>
    <w:rsid w:val="00506499"/>
    <w:rsid w:val="0050666A"/>
    <w:rsid w:val="005072AA"/>
    <w:rsid w:val="005112E8"/>
    <w:rsid w:val="005115D7"/>
    <w:rsid w:val="005121F2"/>
    <w:rsid w:val="0051233E"/>
    <w:rsid w:val="00512636"/>
    <w:rsid w:val="005135A0"/>
    <w:rsid w:val="005153FB"/>
    <w:rsid w:val="0051600D"/>
    <w:rsid w:val="005201FC"/>
    <w:rsid w:val="005205FA"/>
    <w:rsid w:val="00520AF5"/>
    <w:rsid w:val="005222A0"/>
    <w:rsid w:val="00522B55"/>
    <w:rsid w:val="0052385F"/>
    <w:rsid w:val="00523F04"/>
    <w:rsid w:val="005252B3"/>
    <w:rsid w:val="005253E8"/>
    <w:rsid w:val="00525795"/>
    <w:rsid w:val="00526319"/>
    <w:rsid w:val="00526B7D"/>
    <w:rsid w:val="00527652"/>
    <w:rsid w:val="0053153C"/>
    <w:rsid w:val="005316FF"/>
    <w:rsid w:val="00532149"/>
    <w:rsid w:val="005343F1"/>
    <w:rsid w:val="0053447C"/>
    <w:rsid w:val="005347B2"/>
    <w:rsid w:val="005349CB"/>
    <w:rsid w:val="00535277"/>
    <w:rsid w:val="00535AE5"/>
    <w:rsid w:val="00535CFB"/>
    <w:rsid w:val="00535F71"/>
    <w:rsid w:val="005360A3"/>
    <w:rsid w:val="005368FD"/>
    <w:rsid w:val="00536A83"/>
    <w:rsid w:val="00536E12"/>
    <w:rsid w:val="005377CC"/>
    <w:rsid w:val="005407AF"/>
    <w:rsid w:val="00540944"/>
    <w:rsid w:val="00543623"/>
    <w:rsid w:val="00543E88"/>
    <w:rsid w:val="00544C49"/>
    <w:rsid w:val="005456AA"/>
    <w:rsid w:val="005456F0"/>
    <w:rsid w:val="0054574F"/>
    <w:rsid w:val="0054671D"/>
    <w:rsid w:val="005477B3"/>
    <w:rsid w:val="00547852"/>
    <w:rsid w:val="00547C35"/>
    <w:rsid w:val="005507B8"/>
    <w:rsid w:val="00552614"/>
    <w:rsid w:val="00552E5A"/>
    <w:rsid w:val="005541E4"/>
    <w:rsid w:val="0055519F"/>
    <w:rsid w:val="00555718"/>
    <w:rsid w:val="00556213"/>
    <w:rsid w:val="00556FEA"/>
    <w:rsid w:val="0055740E"/>
    <w:rsid w:val="00557899"/>
    <w:rsid w:val="00563288"/>
    <w:rsid w:val="00563AA7"/>
    <w:rsid w:val="005640D7"/>
    <w:rsid w:val="0056613A"/>
    <w:rsid w:val="00566CAB"/>
    <w:rsid w:val="00567755"/>
    <w:rsid w:val="00570B0B"/>
    <w:rsid w:val="00571882"/>
    <w:rsid w:val="0057348C"/>
    <w:rsid w:val="00573C2C"/>
    <w:rsid w:val="00574096"/>
    <w:rsid w:val="00576DBF"/>
    <w:rsid w:val="00577050"/>
    <w:rsid w:val="00577ECC"/>
    <w:rsid w:val="005800A1"/>
    <w:rsid w:val="00580344"/>
    <w:rsid w:val="0058050B"/>
    <w:rsid w:val="00580840"/>
    <w:rsid w:val="00581BE3"/>
    <w:rsid w:val="005822D0"/>
    <w:rsid w:val="00583844"/>
    <w:rsid w:val="0058441F"/>
    <w:rsid w:val="00584D00"/>
    <w:rsid w:val="0058587D"/>
    <w:rsid w:val="005861AC"/>
    <w:rsid w:val="005861FE"/>
    <w:rsid w:val="005876E3"/>
    <w:rsid w:val="00587CD0"/>
    <w:rsid w:val="005900FD"/>
    <w:rsid w:val="0059108E"/>
    <w:rsid w:val="005910E9"/>
    <w:rsid w:val="005919F9"/>
    <w:rsid w:val="00592DBB"/>
    <w:rsid w:val="00594146"/>
    <w:rsid w:val="005943CB"/>
    <w:rsid w:val="00594A8C"/>
    <w:rsid w:val="00595A66"/>
    <w:rsid w:val="005966D8"/>
    <w:rsid w:val="0059671E"/>
    <w:rsid w:val="00596879"/>
    <w:rsid w:val="00597410"/>
    <w:rsid w:val="00597447"/>
    <w:rsid w:val="005974E9"/>
    <w:rsid w:val="005A0662"/>
    <w:rsid w:val="005A0807"/>
    <w:rsid w:val="005A1322"/>
    <w:rsid w:val="005A17C4"/>
    <w:rsid w:val="005A3683"/>
    <w:rsid w:val="005A406A"/>
    <w:rsid w:val="005A4D9D"/>
    <w:rsid w:val="005B077E"/>
    <w:rsid w:val="005B0A71"/>
    <w:rsid w:val="005B1F45"/>
    <w:rsid w:val="005B3A48"/>
    <w:rsid w:val="005B79D3"/>
    <w:rsid w:val="005C0C67"/>
    <w:rsid w:val="005C173B"/>
    <w:rsid w:val="005C17A6"/>
    <w:rsid w:val="005C20FD"/>
    <w:rsid w:val="005C2445"/>
    <w:rsid w:val="005C3578"/>
    <w:rsid w:val="005C3B15"/>
    <w:rsid w:val="005C3B48"/>
    <w:rsid w:val="005C3EF6"/>
    <w:rsid w:val="005C4781"/>
    <w:rsid w:val="005C5040"/>
    <w:rsid w:val="005C5332"/>
    <w:rsid w:val="005C54AD"/>
    <w:rsid w:val="005C565B"/>
    <w:rsid w:val="005C6340"/>
    <w:rsid w:val="005C7772"/>
    <w:rsid w:val="005D067D"/>
    <w:rsid w:val="005D20CC"/>
    <w:rsid w:val="005D2173"/>
    <w:rsid w:val="005D2CBE"/>
    <w:rsid w:val="005D2F9D"/>
    <w:rsid w:val="005D35C8"/>
    <w:rsid w:val="005D3AC5"/>
    <w:rsid w:val="005D4FE7"/>
    <w:rsid w:val="005D690A"/>
    <w:rsid w:val="005E03DF"/>
    <w:rsid w:val="005E1423"/>
    <w:rsid w:val="005E1BFF"/>
    <w:rsid w:val="005E2294"/>
    <w:rsid w:val="005E50C7"/>
    <w:rsid w:val="005E5B31"/>
    <w:rsid w:val="005E7ACF"/>
    <w:rsid w:val="005E7E8F"/>
    <w:rsid w:val="005F1709"/>
    <w:rsid w:val="005F18C5"/>
    <w:rsid w:val="005F2101"/>
    <w:rsid w:val="005F514F"/>
    <w:rsid w:val="005F57E5"/>
    <w:rsid w:val="005F5F4F"/>
    <w:rsid w:val="005F6746"/>
    <w:rsid w:val="005F69AD"/>
    <w:rsid w:val="005F735A"/>
    <w:rsid w:val="00600322"/>
    <w:rsid w:val="00600580"/>
    <w:rsid w:val="00600EE4"/>
    <w:rsid w:val="006012D1"/>
    <w:rsid w:val="00601504"/>
    <w:rsid w:val="00602281"/>
    <w:rsid w:val="00602304"/>
    <w:rsid w:val="00602B67"/>
    <w:rsid w:val="0060409A"/>
    <w:rsid w:val="006042AB"/>
    <w:rsid w:val="00604680"/>
    <w:rsid w:val="00605050"/>
    <w:rsid w:val="0060532B"/>
    <w:rsid w:val="00605910"/>
    <w:rsid w:val="00605B51"/>
    <w:rsid w:val="0060795B"/>
    <w:rsid w:val="00610028"/>
    <w:rsid w:val="006103CB"/>
    <w:rsid w:val="006134C5"/>
    <w:rsid w:val="00614D1B"/>
    <w:rsid w:val="006150C0"/>
    <w:rsid w:val="006152D2"/>
    <w:rsid w:val="00615412"/>
    <w:rsid w:val="00615BB3"/>
    <w:rsid w:val="00617166"/>
    <w:rsid w:val="00621CF0"/>
    <w:rsid w:val="0062391C"/>
    <w:rsid w:val="00623A00"/>
    <w:rsid w:val="00624145"/>
    <w:rsid w:val="00624287"/>
    <w:rsid w:val="00624CF4"/>
    <w:rsid w:val="0062536B"/>
    <w:rsid w:val="006264DF"/>
    <w:rsid w:val="00626D67"/>
    <w:rsid w:val="00630C8E"/>
    <w:rsid w:val="00630D21"/>
    <w:rsid w:val="00632438"/>
    <w:rsid w:val="00632563"/>
    <w:rsid w:val="00632842"/>
    <w:rsid w:val="00632F95"/>
    <w:rsid w:val="00633729"/>
    <w:rsid w:val="00634777"/>
    <w:rsid w:val="006407C5"/>
    <w:rsid w:val="0064105B"/>
    <w:rsid w:val="006419CE"/>
    <w:rsid w:val="00642805"/>
    <w:rsid w:val="00642C87"/>
    <w:rsid w:val="0064347F"/>
    <w:rsid w:val="00643BB5"/>
    <w:rsid w:val="00644623"/>
    <w:rsid w:val="00647177"/>
    <w:rsid w:val="00650172"/>
    <w:rsid w:val="00650CA4"/>
    <w:rsid w:val="00651A82"/>
    <w:rsid w:val="00651C88"/>
    <w:rsid w:val="006529EB"/>
    <w:rsid w:val="00652CDB"/>
    <w:rsid w:val="00652EA6"/>
    <w:rsid w:val="00654654"/>
    <w:rsid w:val="00654B58"/>
    <w:rsid w:val="00656E1E"/>
    <w:rsid w:val="00657C3A"/>
    <w:rsid w:val="00657D55"/>
    <w:rsid w:val="0066049C"/>
    <w:rsid w:val="00660E34"/>
    <w:rsid w:val="00662742"/>
    <w:rsid w:val="00662BDA"/>
    <w:rsid w:val="00662EC4"/>
    <w:rsid w:val="00663DC3"/>
    <w:rsid w:val="006640A1"/>
    <w:rsid w:val="00665D16"/>
    <w:rsid w:val="006669F5"/>
    <w:rsid w:val="00666C29"/>
    <w:rsid w:val="00667A57"/>
    <w:rsid w:val="006713AB"/>
    <w:rsid w:val="006719AA"/>
    <w:rsid w:val="00673178"/>
    <w:rsid w:val="00673AC8"/>
    <w:rsid w:val="00674222"/>
    <w:rsid w:val="006749A5"/>
    <w:rsid w:val="006759A3"/>
    <w:rsid w:val="0067624F"/>
    <w:rsid w:val="00676894"/>
    <w:rsid w:val="00677CE1"/>
    <w:rsid w:val="00677CEF"/>
    <w:rsid w:val="006807D4"/>
    <w:rsid w:val="0068159A"/>
    <w:rsid w:val="00682995"/>
    <w:rsid w:val="00682EE5"/>
    <w:rsid w:val="00683BBC"/>
    <w:rsid w:val="00684A91"/>
    <w:rsid w:val="00687E6C"/>
    <w:rsid w:val="00687F59"/>
    <w:rsid w:val="00690321"/>
    <w:rsid w:val="0069070E"/>
    <w:rsid w:val="00691289"/>
    <w:rsid w:val="00692270"/>
    <w:rsid w:val="00692A15"/>
    <w:rsid w:val="00693047"/>
    <w:rsid w:val="0069336C"/>
    <w:rsid w:val="006938E9"/>
    <w:rsid w:val="00693948"/>
    <w:rsid w:val="006945A7"/>
    <w:rsid w:val="00694CA1"/>
    <w:rsid w:val="00695692"/>
    <w:rsid w:val="006977DC"/>
    <w:rsid w:val="006A0076"/>
    <w:rsid w:val="006A2D67"/>
    <w:rsid w:val="006A33C4"/>
    <w:rsid w:val="006A375D"/>
    <w:rsid w:val="006A397B"/>
    <w:rsid w:val="006A406F"/>
    <w:rsid w:val="006A44CB"/>
    <w:rsid w:val="006A4525"/>
    <w:rsid w:val="006A515C"/>
    <w:rsid w:val="006A5404"/>
    <w:rsid w:val="006A5FB5"/>
    <w:rsid w:val="006A70C6"/>
    <w:rsid w:val="006A7C30"/>
    <w:rsid w:val="006B062B"/>
    <w:rsid w:val="006B1362"/>
    <w:rsid w:val="006B1B30"/>
    <w:rsid w:val="006B21F8"/>
    <w:rsid w:val="006B2B4F"/>
    <w:rsid w:val="006B323E"/>
    <w:rsid w:val="006B32A7"/>
    <w:rsid w:val="006B38A4"/>
    <w:rsid w:val="006B3A81"/>
    <w:rsid w:val="006B669F"/>
    <w:rsid w:val="006B6E72"/>
    <w:rsid w:val="006C0A52"/>
    <w:rsid w:val="006C106E"/>
    <w:rsid w:val="006C124B"/>
    <w:rsid w:val="006C145C"/>
    <w:rsid w:val="006C1C80"/>
    <w:rsid w:val="006C2559"/>
    <w:rsid w:val="006C399A"/>
    <w:rsid w:val="006C3EBD"/>
    <w:rsid w:val="006C4A48"/>
    <w:rsid w:val="006C4CC6"/>
    <w:rsid w:val="006C4E90"/>
    <w:rsid w:val="006C5743"/>
    <w:rsid w:val="006C5A75"/>
    <w:rsid w:val="006C6DAD"/>
    <w:rsid w:val="006C6FD0"/>
    <w:rsid w:val="006C7BDF"/>
    <w:rsid w:val="006D082A"/>
    <w:rsid w:val="006D2819"/>
    <w:rsid w:val="006D35D9"/>
    <w:rsid w:val="006D3D77"/>
    <w:rsid w:val="006D4515"/>
    <w:rsid w:val="006D4F2C"/>
    <w:rsid w:val="006D5FE9"/>
    <w:rsid w:val="006D6064"/>
    <w:rsid w:val="006D7027"/>
    <w:rsid w:val="006D7534"/>
    <w:rsid w:val="006D7C48"/>
    <w:rsid w:val="006E06DC"/>
    <w:rsid w:val="006E09D4"/>
    <w:rsid w:val="006E0CD0"/>
    <w:rsid w:val="006E23C1"/>
    <w:rsid w:val="006E3C0F"/>
    <w:rsid w:val="006E4C94"/>
    <w:rsid w:val="006E6F41"/>
    <w:rsid w:val="006E7370"/>
    <w:rsid w:val="006F0464"/>
    <w:rsid w:val="006F0C24"/>
    <w:rsid w:val="006F0E70"/>
    <w:rsid w:val="006F104C"/>
    <w:rsid w:val="006F1073"/>
    <w:rsid w:val="006F13D4"/>
    <w:rsid w:val="006F1881"/>
    <w:rsid w:val="006F1AEF"/>
    <w:rsid w:val="006F1DC5"/>
    <w:rsid w:val="006F2568"/>
    <w:rsid w:val="006F3D9C"/>
    <w:rsid w:val="006F460F"/>
    <w:rsid w:val="006F63C7"/>
    <w:rsid w:val="006F73F3"/>
    <w:rsid w:val="006F7B6A"/>
    <w:rsid w:val="00700085"/>
    <w:rsid w:val="0070306E"/>
    <w:rsid w:val="00703885"/>
    <w:rsid w:val="00703BFA"/>
    <w:rsid w:val="007047F7"/>
    <w:rsid w:val="00704FD1"/>
    <w:rsid w:val="00705231"/>
    <w:rsid w:val="00706330"/>
    <w:rsid w:val="0070639B"/>
    <w:rsid w:val="00706E9E"/>
    <w:rsid w:val="00707102"/>
    <w:rsid w:val="007105CB"/>
    <w:rsid w:val="00710A16"/>
    <w:rsid w:val="00710BBF"/>
    <w:rsid w:val="007114DD"/>
    <w:rsid w:val="007137E6"/>
    <w:rsid w:val="00713DD1"/>
    <w:rsid w:val="007151F1"/>
    <w:rsid w:val="0071559C"/>
    <w:rsid w:val="00716AE6"/>
    <w:rsid w:val="0071756C"/>
    <w:rsid w:val="007177F5"/>
    <w:rsid w:val="007205DD"/>
    <w:rsid w:val="00720A31"/>
    <w:rsid w:val="00721659"/>
    <w:rsid w:val="00721B45"/>
    <w:rsid w:val="00721F51"/>
    <w:rsid w:val="0072207B"/>
    <w:rsid w:val="007221F5"/>
    <w:rsid w:val="00722801"/>
    <w:rsid w:val="007229BA"/>
    <w:rsid w:val="0072310E"/>
    <w:rsid w:val="0072393D"/>
    <w:rsid w:val="00723FB5"/>
    <w:rsid w:val="0072466D"/>
    <w:rsid w:val="00725861"/>
    <w:rsid w:val="007258C5"/>
    <w:rsid w:val="007264F9"/>
    <w:rsid w:val="0072651C"/>
    <w:rsid w:val="00726899"/>
    <w:rsid w:val="00726B64"/>
    <w:rsid w:val="00730CA8"/>
    <w:rsid w:val="0073148A"/>
    <w:rsid w:val="00731563"/>
    <w:rsid w:val="00731689"/>
    <w:rsid w:val="00731E66"/>
    <w:rsid w:val="00732CD0"/>
    <w:rsid w:val="00733E33"/>
    <w:rsid w:val="00733FD5"/>
    <w:rsid w:val="0073428E"/>
    <w:rsid w:val="007348E7"/>
    <w:rsid w:val="0073656C"/>
    <w:rsid w:val="00736A9E"/>
    <w:rsid w:val="00740596"/>
    <w:rsid w:val="00740793"/>
    <w:rsid w:val="00740BF7"/>
    <w:rsid w:val="0074192C"/>
    <w:rsid w:val="007422FD"/>
    <w:rsid w:val="0074297C"/>
    <w:rsid w:val="00742D7F"/>
    <w:rsid w:val="00745B6F"/>
    <w:rsid w:val="00746B5B"/>
    <w:rsid w:val="0075084E"/>
    <w:rsid w:val="00751CB9"/>
    <w:rsid w:val="007524BD"/>
    <w:rsid w:val="00752B89"/>
    <w:rsid w:val="00752FD3"/>
    <w:rsid w:val="00753C14"/>
    <w:rsid w:val="00754FB1"/>
    <w:rsid w:val="007559D4"/>
    <w:rsid w:val="007608D7"/>
    <w:rsid w:val="00761131"/>
    <w:rsid w:val="00763687"/>
    <w:rsid w:val="0076590A"/>
    <w:rsid w:val="0076646D"/>
    <w:rsid w:val="00766C93"/>
    <w:rsid w:val="00767675"/>
    <w:rsid w:val="007677C9"/>
    <w:rsid w:val="00771002"/>
    <w:rsid w:val="007720CA"/>
    <w:rsid w:val="00772528"/>
    <w:rsid w:val="00772665"/>
    <w:rsid w:val="00773751"/>
    <w:rsid w:val="007748BB"/>
    <w:rsid w:val="00775DAE"/>
    <w:rsid w:val="0077677D"/>
    <w:rsid w:val="00776875"/>
    <w:rsid w:val="00776E1D"/>
    <w:rsid w:val="00776FEB"/>
    <w:rsid w:val="00777652"/>
    <w:rsid w:val="007811CD"/>
    <w:rsid w:val="007820FB"/>
    <w:rsid w:val="00782FB0"/>
    <w:rsid w:val="0078400D"/>
    <w:rsid w:val="0078404D"/>
    <w:rsid w:val="007840A5"/>
    <w:rsid w:val="00784549"/>
    <w:rsid w:val="007850D9"/>
    <w:rsid w:val="00786A13"/>
    <w:rsid w:val="00786DF1"/>
    <w:rsid w:val="00787314"/>
    <w:rsid w:val="00787A14"/>
    <w:rsid w:val="00787FAF"/>
    <w:rsid w:val="0079001E"/>
    <w:rsid w:val="00790A70"/>
    <w:rsid w:val="00791AA8"/>
    <w:rsid w:val="00791E21"/>
    <w:rsid w:val="00793C78"/>
    <w:rsid w:val="00793D45"/>
    <w:rsid w:val="00794085"/>
    <w:rsid w:val="007956B5"/>
    <w:rsid w:val="00795936"/>
    <w:rsid w:val="00795AC5"/>
    <w:rsid w:val="00796E8A"/>
    <w:rsid w:val="007977D1"/>
    <w:rsid w:val="00797B65"/>
    <w:rsid w:val="007A02C5"/>
    <w:rsid w:val="007A03AF"/>
    <w:rsid w:val="007A0D6F"/>
    <w:rsid w:val="007A15DE"/>
    <w:rsid w:val="007A46F2"/>
    <w:rsid w:val="007A4E2F"/>
    <w:rsid w:val="007A60D9"/>
    <w:rsid w:val="007A7170"/>
    <w:rsid w:val="007B1C5F"/>
    <w:rsid w:val="007B2E94"/>
    <w:rsid w:val="007B580D"/>
    <w:rsid w:val="007B5BFA"/>
    <w:rsid w:val="007B6537"/>
    <w:rsid w:val="007B6F6E"/>
    <w:rsid w:val="007B7392"/>
    <w:rsid w:val="007B7BD9"/>
    <w:rsid w:val="007C02CF"/>
    <w:rsid w:val="007C035E"/>
    <w:rsid w:val="007C06D9"/>
    <w:rsid w:val="007C092D"/>
    <w:rsid w:val="007C09F9"/>
    <w:rsid w:val="007C0CAF"/>
    <w:rsid w:val="007C1B98"/>
    <w:rsid w:val="007C2051"/>
    <w:rsid w:val="007C2772"/>
    <w:rsid w:val="007C2ACA"/>
    <w:rsid w:val="007C3122"/>
    <w:rsid w:val="007C3CF1"/>
    <w:rsid w:val="007C4467"/>
    <w:rsid w:val="007C775C"/>
    <w:rsid w:val="007C7DA7"/>
    <w:rsid w:val="007C7DED"/>
    <w:rsid w:val="007D2A13"/>
    <w:rsid w:val="007D4198"/>
    <w:rsid w:val="007D4A7B"/>
    <w:rsid w:val="007D4D45"/>
    <w:rsid w:val="007D4DDF"/>
    <w:rsid w:val="007D5CF7"/>
    <w:rsid w:val="007D67CF"/>
    <w:rsid w:val="007D6EF4"/>
    <w:rsid w:val="007E1457"/>
    <w:rsid w:val="007E210F"/>
    <w:rsid w:val="007E4512"/>
    <w:rsid w:val="007E4973"/>
    <w:rsid w:val="007E6493"/>
    <w:rsid w:val="007E64AE"/>
    <w:rsid w:val="007E6556"/>
    <w:rsid w:val="007E7937"/>
    <w:rsid w:val="007E7B60"/>
    <w:rsid w:val="007F0229"/>
    <w:rsid w:val="007F0B9F"/>
    <w:rsid w:val="007F17D8"/>
    <w:rsid w:val="007F1C72"/>
    <w:rsid w:val="007F339B"/>
    <w:rsid w:val="007F3B4C"/>
    <w:rsid w:val="007F3C15"/>
    <w:rsid w:val="007F44A9"/>
    <w:rsid w:val="007F4C9D"/>
    <w:rsid w:val="007F5677"/>
    <w:rsid w:val="007F5CE1"/>
    <w:rsid w:val="007F6D7A"/>
    <w:rsid w:val="007F798F"/>
    <w:rsid w:val="007F7DB6"/>
    <w:rsid w:val="00800455"/>
    <w:rsid w:val="00800A49"/>
    <w:rsid w:val="00801154"/>
    <w:rsid w:val="00802671"/>
    <w:rsid w:val="00802781"/>
    <w:rsid w:val="0080315D"/>
    <w:rsid w:val="00803164"/>
    <w:rsid w:val="00803DA7"/>
    <w:rsid w:val="00804C65"/>
    <w:rsid w:val="00804F65"/>
    <w:rsid w:val="00805BF9"/>
    <w:rsid w:val="00806DE9"/>
    <w:rsid w:val="0080713C"/>
    <w:rsid w:val="0080766C"/>
    <w:rsid w:val="008102BF"/>
    <w:rsid w:val="008111F8"/>
    <w:rsid w:val="00811EBD"/>
    <w:rsid w:val="00812247"/>
    <w:rsid w:val="00812CC1"/>
    <w:rsid w:val="00813C9C"/>
    <w:rsid w:val="00815D0B"/>
    <w:rsid w:val="00815F44"/>
    <w:rsid w:val="00816548"/>
    <w:rsid w:val="00816601"/>
    <w:rsid w:val="0081721C"/>
    <w:rsid w:val="00817D3D"/>
    <w:rsid w:val="0082008D"/>
    <w:rsid w:val="00820516"/>
    <w:rsid w:val="008205CA"/>
    <w:rsid w:val="00820D17"/>
    <w:rsid w:val="008218DC"/>
    <w:rsid w:val="00823568"/>
    <w:rsid w:val="008243E9"/>
    <w:rsid w:val="008247C9"/>
    <w:rsid w:val="00824A6E"/>
    <w:rsid w:val="00824B29"/>
    <w:rsid w:val="00824FD2"/>
    <w:rsid w:val="008252F8"/>
    <w:rsid w:val="00825566"/>
    <w:rsid w:val="00825B8D"/>
    <w:rsid w:val="00825D13"/>
    <w:rsid w:val="00830030"/>
    <w:rsid w:val="00831496"/>
    <w:rsid w:val="00831694"/>
    <w:rsid w:val="00834826"/>
    <w:rsid w:val="008357C8"/>
    <w:rsid w:val="00835DD3"/>
    <w:rsid w:val="0083764D"/>
    <w:rsid w:val="00837F18"/>
    <w:rsid w:val="008406A4"/>
    <w:rsid w:val="008409BE"/>
    <w:rsid w:val="00840E35"/>
    <w:rsid w:val="00842A39"/>
    <w:rsid w:val="0084342F"/>
    <w:rsid w:val="00843C68"/>
    <w:rsid w:val="00843D29"/>
    <w:rsid w:val="00846A87"/>
    <w:rsid w:val="00846EB7"/>
    <w:rsid w:val="0085050A"/>
    <w:rsid w:val="00853B88"/>
    <w:rsid w:val="008558D4"/>
    <w:rsid w:val="00855900"/>
    <w:rsid w:val="00855E54"/>
    <w:rsid w:val="0085690F"/>
    <w:rsid w:val="008569F2"/>
    <w:rsid w:val="00856FD3"/>
    <w:rsid w:val="00857224"/>
    <w:rsid w:val="00857BEE"/>
    <w:rsid w:val="00857C98"/>
    <w:rsid w:val="00861373"/>
    <w:rsid w:val="00865489"/>
    <w:rsid w:val="00867864"/>
    <w:rsid w:val="00867A61"/>
    <w:rsid w:val="008709CA"/>
    <w:rsid w:val="00871003"/>
    <w:rsid w:val="00871B0B"/>
    <w:rsid w:val="0087451D"/>
    <w:rsid w:val="0087519E"/>
    <w:rsid w:val="00875C43"/>
    <w:rsid w:val="00876C2A"/>
    <w:rsid w:val="008810CE"/>
    <w:rsid w:val="008813C9"/>
    <w:rsid w:val="00881D94"/>
    <w:rsid w:val="00881DD5"/>
    <w:rsid w:val="00882419"/>
    <w:rsid w:val="008828A0"/>
    <w:rsid w:val="00884C8F"/>
    <w:rsid w:val="0088577D"/>
    <w:rsid w:val="00885D32"/>
    <w:rsid w:val="00886BD7"/>
    <w:rsid w:val="008870FC"/>
    <w:rsid w:val="008871F6"/>
    <w:rsid w:val="008878CD"/>
    <w:rsid w:val="008905B9"/>
    <w:rsid w:val="008912FB"/>
    <w:rsid w:val="00891871"/>
    <w:rsid w:val="00892C3F"/>
    <w:rsid w:val="00892CF9"/>
    <w:rsid w:val="00895A25"/>
    <w:rsid w:val="00895DE5"/>
    <w:rsid w:val="0089642D"/>
    <w:rsid w:val="00897FB7"/>
    <w:rsid w:val="008A03B2"/>
    <w:rsid w:val="008A0519"/>
    <w:rsid w:val="008A117B"/>
    <w:rsid w:val="008A15DC"/>
    <w:rsid w:val="008A23B4"/>
    <w:rsid w:val="008A2779"/>
    <w:rsid w:val="008A277F"/>
    <w:rsid w:val="008A2EE5"/>
    <w:rsid w:val="008A3DFB"/>
    <w:rsid w:val="008A3E5F"/>
    <w:rsid w:val="008A4EA0"/>
    <w:rsid w:val="008A5FB3"/>
    <w:rsid w:val="008A6E6E"/>
    <w:rsid w:val="008A7899"/>
    <w:rsid w:val="008B02E1"/>
    <w:rsid w:val="008B12E4"/>
    <w:rsid w:val="008B1713"/>
    <w:rsid w:val="008B1DC5"/>
    <w:rsid w:val="008B3214"/>
    <w:rsid w:val="008B79D1"/>
    <w:rsid w:val="008C1532"/>
    <w:rsid w:val="008C15D3"/>
    <w:rsid w:val="008C20FF"/>
    <w:rsid w:val="008C2168"/>
    <w:rsid w:val="008C23A2"/>
    <w:rsid w:val="008C311C"/>
    <w:rsid w:val="008C37E6"/>
    <w:rsid w:val="008C3AB5"/>
    <w:rsid w:val="008C3BBE"/>
    <w:rsid w:val="008C5033"/>
    <w:rsid w:val="008C63AB"/>
    <w:rsid w:val="008C65C8"/>
    <w:rsid w:val="008C666D"/>
    <w:rsid w:val="008C7363"/>
    <w:rsid w:val="008C7402"/>
    <w:rsid w:val="008C7754"/>
    <w:rsid w:val="008D1049"/>
    <w:rsid w:val="008D1BC9"/>
    <w:rsid w:val="008D1CDA"/>
    <w:rsid w:val="008D2039"/>
    <w:rsid w:val="008D3573"/>
    <w:rsid w:val="008D41AF"/>
    <w:rsid w:val="008D43EB"/>
    <w:rsid w:val="008D4654"/>
    <w:rsid w:val="008D4FA9"/>
    <w:rsid w:val="008D74A9"/>
    <w:rsid w:val="008D7D05"/>
    <w:rsid w:val="008E102D"/>
    <w:rsid w:val="008E21DE"/>
    <w:rsid w:val="008E3007"/>
    <w:rsid w:val="008E34BE"/>
    <w:rsid w:val="008E62D2"/>
    <w:rsid w:val="008E70A5"/>
    <w:rsid w:val="008E79D5"/>
    <w:rsid w:val="008F0CC1"/>
    <w:rsid w:val="008F138B"/>
    <w:rsid w:val="008F292B"/>
    <w:rsid w:val="008F2F6C"/>
    <w:rsid w:val="008F4288"/>
    <w:rsid w:val="008F513A"/>
    <w:rsid w:val="008F5219"/>
    <w:rsid w:val="008F6BDD"/>
    <w:rsid w:val="008F7136"/>
    <w:rsid w:val="008F7346"/>
    <w:rsid w:val="008F7350"/>
    <w:rsid w:val="008F7F38"/>
    <w:rsid w:val="009001E5"/>
    <w:rsid w:val="00901490"/>
    <w:rsid w:val="009020F3"/>
    <w:rsid w:val="009021B5"/>
    <w:rsid w:val="0090252F"/>
    <w:rsid w:val="009028A2"/>
    <w:rsid w:val="00902A2D"/>
    <w:rsid w:val="00904EC4"/>
    <w:rsid w:val="00905874"/>
    <w:rsid w:val="00905B97"/>
    <w:rsid w:val="00907EC7"/>
    <w:rsid w:val="00907F08"/>
    <w:rsid w:val="009109E4"/>
    <w:rsid w:val="00911501"/>
    <w:rsid w:val="00911636"/>
    <w:rsid w:val="00911A45"/>
    <w:rsid w:val="00911F25"/>
    <w:rsid w:val="00913A7F"/>
    <w:rsid w:val="00913CBA"/>
    <w:rsid w:val="00914058"/>
    <w:rsid w:val="009145EB"/>
    <w:rsid w:val="009147C2"/>
    <w:rsid w:val="00914FBF"/>
    <w:rsid w:val="009156ED"/>
    <w:rsid w:val="00916782"/>
    <w:rsid w:val="0091705B"/>
    <w:rsid w:val="00917699"/>
    <w:rsid w:val="009212BE"/>
    <w:rsid w:val="0092200E"/>
    <w:rsid w:val="00922948"/>
    <w:rsid w:val="00922A72"/>
    <w:rsid w:val="00922AA0"/>
    <w:rsid w:val="00922EE3"/>
    <w:rsid w:val="009252D7"/>
    <w:rsid w:val="00926434"/>
    <w:rsid w:val="00926501"/>
    <w:rsid w:val="00926550"/>
    <w:rsid w:val="00926C83"/>
    <w:rsid w:val="00930BCA"/>
    <w:rsid w:val="00931215"/>
    <w:rsid w:val="00931965"/>
    <w:rsid w:val="00934044"/>
    <w:rsid w:val="00934307"/>
    <w:rsid w:val="0093491D"/>
    <w:rsid w:val="009357CE"/>
    <w:rsid w:val="00937040"/>
    <w:rsid w:val="009374C3"/>
    <w:rsid w:val="00940335"/>
    <w:rsid w:val="009409FB"/>
    <w:rsid w:val="00940C89"/>
    <w:rsid w:val="009416BB"/>
    <w:rsid w:val="00941777"/>
    <w:rsid w:val="0094280E"/>
    <w:rsid w:val="00942E67"/>
    <w:rsid w:val="00942F40"/>
    <w:rsid w:val="00943176"/>
    <w:rsid w:val="00943781"/>
    <w:rsid w:val="00943A80"/>
    <w:rsid w:val="00944EA0"/>
    <w:rsid w:val="00945FBA"/>
    <w:rsid w:val="009463F2"/>
    <w:rsid w:val="009466C2"/>
    <w:rsid w:val="009472F3"/>
    <w:rsid w:val="00950DB0"/>
    <w:rsid w:val="00951453"/>
    <w:rsid w:val="009526E5"/>
    <w:rsid w:val="009531AD"/>
    <w:rsid w:val="009541E7"/>
    <w:rsid w:val="0095425A"/>
    <w:rsid w:val="0095520B"/>
    <w:rsid w:val="009557D4"/>
    <w:rsid w:val="00955FA7"/>
    <w:rsid w:val="0095664E"/>
    <w:rsid w:val="00956A08"/>
    <w:rsid w:val="00957055"/>
    <w:rsid w:val="0095750B"/>
    <w:rsid w:val="00960398"/>
    <w:rsid w:val="0096111C"/>
    <w:rsid w:val="009616BE"/>
    <w:rsid w:val="00961D36"/>
    <w:rsid w:val="00962616"/>
    <w:rsid w:val="009628BF"/>
    <w:rsid w:val="00962B65"/>
    <w:rsid w:val="00963B2F"/>
    <w:rsid w:val="00963BA8"/>
    <w:rsid w:val="00964B00"/>
    <w:rsid w:val="00964DB7"/>
    <w:rsid w:val="00964DC1"/>
    <w:rsid w:val="009663FA"/>
    <w:rsid w:val="009671B2"/>
    <w:rsid w:val="009678EB"/>
    <w:rsid w:val="00967E17"/>
    <w:rsid w:val="00967F69"/>
    <w:rsid w:val="009700BA"/>
    <w:rsid w:val="00970F3F"/>
    <w:rsid w:val="00971F7D"/>
    <w:rsid w:val="00973689"/>
    <w:rsid w:val="0097394C"/>
    <w:rsid w:val="00973DD6"/>
    <w:rsid w:val="00973EBA"/>
    <w:rsid w:val="0097484D"/>
    <w:rsid w:val="009776B9"/>
    <w:rsid w:val="009809F2"/>
    <w:rsid w:val="00982016"/>
    <w:rsid w:val="009827EF"/>
    <w:rsid w:val="00983124"/>
    <w:rsid w:val="009840CC"/>
    <w:rsid w:val="009841DD"/>
    <w:rsid w:val="009843EA"/>
    <w:rsid w:val="00986E4F"/>
    <w:rsid w:val="009917F9"/>
    <w:rsid w:val="00991D48"/>
    <w:rsid w:val="00993295"/>
    <w:rsid w:val="009949A8"/>
    <w:rsid w:val="00995529"/>
    <w:rsid w:val="009968C0"/>
    <w:rsid w:val="009975FE"/>
    <w:rsid w:val="00997E1B"/>
    <w:rsid w:val="009A0A8E"/>
    <w:rsid w:val="009A0C7F"/>
    <w:rsid w:val="009A2BD7"/>
    <w:rsid w:val="009A303E"/>
    <w:rsid w:val="009A4ED1"/>
    <w:rsid w:val="009A517C"/>
    <w:rsid w:val="009A5287"/>
    <w:rsid w:val="009A618A"/>
    <w:rsid w:val="009A67F1"/>
    <w:rsid w:val="009B0AC2"/>
    <w:rsid w:val="009B0C70"/>
    <w:rsid w:val="009B240A"/>
    <w:rsid w:val="009B30B7"/>
    <w:rsid w:val="009B3320"/>
    <w:rsid w:val="009B3512"/>
    <w:rsid w:val="009B3638"/>
    <w:rsid w:val="009B3C0F"/>
    <w:rsid w:val="009B4054"/>
    <w:rsid w:val="009B52AA"/>
    <w:rsid w:val="009B681E"/>
    <w:rsid w:val="009B7491"/>
    <w:rsid w:val="009B74D8"/>
    <w:rsid w:val="009C09DB"/>
    <w:rsid w:val="009C0B5D"/>
    <w:rsid w:val="009C15A1"/>
    <w:rsid w:val="009C16E2"/>
    <w:rsid w:val="009C1A51"/>
    <w:rsid w:val="009C1A97"/>
    <w:rsid w:val="009C24CC"/>
    <w:rsid w:val="009C3C21"/>
    <w:rsid w:val="009C6CFB"/>
    <w:rsid w:val="009C729D"/>
    <w:rsid w:val="009C784B"/>
    <w:rsid w:val="009D0B27"/>
    <w:rsid w:val="009D0DF6"/>
    <w:rsid w:val="009D10F1"/>
    <w:rsid w:val="009D14BE"/>
    <w:rsid w:val="009D1FBD"/>
    <w:rsid w:val="009D2740"/>
    <w:rsid w:val="009D3668"/>
    <w:rsid w:val="009D4635"/>
    <w:rsid w:val="009D5F0F"/>
    <w:rsid w:val="009D6FA2"/>
    <w:rsid w:val="009D732A"/>
    <w:rsid w:val="009D7DCC"/>
    <w:rsid w:val="009E022D"/>
    <w:rsid w:val="009E1A2A"/>
    <w:rsid w:val="009E1D85"/>
    <w:rsid w:val="009E2014"/>
    <w:rsid w:val="009E2916"/>
    <w:rsid w:val="009E2DF1"/>
    <w:rsid w:val="009E3316"/>
    <w:rsid w:val="009E519D"/>
    <w:rsid w:val="009E589F"/>
    <w:rsid w:val="009E5DCC"/>
    <w:rsid w:val="009E6C7E"/>
    <w:rsid w:val="009E701E"/>
    <w:rsid w:val="009E7368"/>
    <w:rsid w:val="009F0A27"/>
    <w:rsid w:val="009F1275"/>
    <w:rsid w:val="009F13CC"/>
    <w:rsid w:val="009F1F3B"/>
    <w:rsid w:val="009F25A2"/>
    <w:rsid w:val="009F3AAE"/>
    <w:rsid w:val="009F419E"/>
    <w:rsid w:val="009F4259"/>
    <w:rsid w:val="009F7020"/>
    <w:rsid w:val="009F7991"/>
    <w:rsid w:val="009F7C66"/>
    <w:rsid w:val="009F7FCF"/>
    <w:rsid w:val="00A012E7"/>
    <w:rsid w:val="00A02D68"/>
    <w:rsid w:val="00A02ECE"/>
    <w:rsid w:val="00A0366E"/>
    <w:rsid w:val="00A038C5"/>
    <w:rsid w:val="00A05A0C"/>
    <w:rsid w:val="00A07633"/>
    <w:rsid w:val="00A076A8"/>
    <w:rsid w:val="00A10CCF"/>
    <w:rsid w:val="00A11D91"/>
    <w:rsid w:val="00A12325"/>
    <w:rsid w:val="00A12F9B"/>
    <w:rsid w:val="00A1312A"/>
    <w:rsid w:val="00A1327D"/>
    <w:rsid w:val="00A13B05"/>
    <w:rsid w:val="00A14162"/>
    <w:rsid w:val="00A158B5"/>
    <w:rsid w:val="00A16678"/>
    <w:rsid w:val="00A16B1D"/>
    <w:rsid w:val="00A17781"/>
    <w:rsid w:val="00A17D23"/>
    <w:rsid w:val="00A200FF"/>
    <w:rsid w:val="00A2067F"/>
    <w:rsid w:val="00A21E6D"/>
    <w:rsid w:val="00A22607"/>
    <w:rsid w:val="00A22C8C"/>
    <w:rsid w:val="00A23382"/>
    <w:rsid w:val="00A23DCE"/>
    <w:rsid w:val="00A245C3"/>
    <w:rsid w:val="00A246F4"/>
    <w:rsid w:val="00A25B8B"/>
    <w:rsid w:val="00A267E3"/>
    <w:rsid w:val="00A268F5"/>
    <w:rsid w:val="00A272F2"/>
    <w:rsid w:val="00A275A0"/>
    <w:rsid w:val="00A27610"/>
    <w:rsid w:val="00A279D4"/>
    <w:rsid w:val="00A30F13"/>
    <w:rsid w:val="00A3135B"/>
    <w:rsid w:val="00A31872"/>
    <w:rsid w:val="00A33415"/>
    <w:rsid w:val="00A339A5"/>
    <w:rsid w:val="00A3401E"/>
    <w:rsid w:val="00A34222"/>
    <w:rsid w:val="00A346B4"/>
    <w:rsid w:val="00A347D6"/>
    <w:rsid w:val="00A34F41"/>
    <w:rsid w:val="00A354BB"/>
    <w:rsid w:val="00A36203"/>
    <w:rsid w:val="00A36FF1"/>
    <w:rsid w:val="00A37EC8"/>
    <w:rsid w:val="00A40B80"/>
    <w:rsid w:val="00A4458B"/>
    <w:rsid w:val="00A447AD"/>
    <w:rsid w:val="00A44B6C"/>
    <w:rsid w:val="00A46D01"/>
    <w:rsid w:val="00A50B1D"/>
    <w:rsid w:val="00A528B9"/>
    <w:rsid w:val="00A54456"/>
    <w:rsid w:val="00A54D6F"/>
    <w:rsid w:val="00A55490"/>
    <w:rsid w:val="00A559EC"/>
    <w:rsid w:val="00A55C1B"/>
    <w:rsid w:val="00A56B29"/>
    <w:rsid w:val="00A573A8"/>
    <w:rsid w:val="00A57AEB"/>
    <w:rsid w:val="00A603E3"/>
    <w:rsid w:val="00A6086B"/>
    <w:rsid w:val="00A61109"/>
    <w:rsid w:val="00A613CB"/>
    <w:rsid w:val="00A6145B"/>
    <w:rsid w:val="00A61FB0"/>
    <w:rsid w:val="00A62707"/>
    <w:rsid w:val="00A62C72"/>
    <w:rsid w:val="00A62C96"/>
    <w:rsid w:val="00A64FCD"/>
    <w:rsid w:val="00A65505"/>
    <w:rsid w:val="00A65F3A"/>
    <w:rsid w:val="00A66397"/>
    <w:rsid w:val="00A67239"/>
    <w:rsid w:val="00A702BB"/>
    <w:rsid w:val="00A715F4"/>
    <w:rsid w:val="00A72E97"/>
    <w:rsid w:val="00A72F83"/>
    <w:rsid w:val="00A74D8E"/>
    <w:rsid w:val="00A755DA"/>
    <w:rsid w:val="00A76FA7"/>
    <w:rsid w:val="00A7724C"/>
    <w:rsid w:val="00A805D1"/>
    <w:rsid w:val="00A80E76"/>
    <w:rsid w:val="00A810FC"/>
    <w:rsid w:val="00A8183E"/>
    <w:rsid w:val="00A81B08"/>
    <w:rsid w:val="00A81D39"/>
    <w:rsid w:val="00A82894"/>
    <w:rsid w:val="00A829BE"/>
    <w:rsid w:val="00A83EF8"/>
    <w:rsid w:val="00A8420F"/>
    <w:rsid w:val="00A8436E"/>
    <w:rsid w:val="00A848CC"/>
    <w:rsid w:val="00A85E7E"/>
    <w:rsid w:val="00A9023F"/>
    <w:rsid w:val="00A920E8"/>
    <w:rsid w:val="00A92593"/>
    <w:rsid w:val="00A93030"/>
    <w:rsid w:val="00A9304C"/>
    <w:rsid w:val="00A93C37"/>
    <w:rsid w:val="00A9424B"/>
    <w:rsid w:val="00A94918"/>
    <w:rsid w:val="00A958DF"/>
    <w:rsid w:val="00A95954"/>
    <w:rsid w:val="00A95C0C"/>
    <w:rsid w:val="00A976FC"/>
    <w:rsid w:val="00A97A06"/>
    <w:rsid w:val="00AA00AE"/>
    <w:rsid w:val="00AA037F"/>
    <w:rsid w:val="00AA074B"/>
    <w:rsid w:val="00AA10D6"/>
    <w:rsid w:val="00AA13C9"/>
    <w:rsid w:val="00AA2141"/>
    <w:rsid w:val="00AA223E"/>
    <w:rsid w:val="00AA240B"/>
    <w:rsid w:val="00AA27BE"/>
    <w:rsid w:val="00AA2ED5"/>
    <w:rsid w:val="00AA4519"/>
    <w:rsid w:val="00AA5D92"/>
    <w:rsid w:val="00AA5F79"/>
    <w:rsid w:val="00AA64C9"/>
    <w:rsid w:val="00AA7025"/>
    <w:rsid w:val="00AA7220"/>
    <w:rsid w:val="00AA728E"/>
    <w:rsid w:val="00AA792D"/>
    <w:rsid w:val="00AB16DA"/>
    <w:rsid w:val="00AB20AE"/>
    <w:rsid w:val="00AB24EB"/>
    <w:rsid w:val="00AB3A44"/>
    <w:rsid w:val="00AB4764"/>
    <w:rsid w:val="00AB4AE0"/>
    <w:rsid w:val="00AB4C20"/>
    <w:rsid w:val="00AB52D9"/>
    <w:rsid w:val="00AB5D2B"/>
    <w:rsid w:val="00AB6C73"/>
    <w:rsid w:val="00AB72DB"/>
    <w:rsid w:val="00AC0270"/>
    <w:rsid w:val="00AC043E"/>
    <w:rsid w:val="00AC115F"/>
    <w:rsid w:val="00AC138D"/>
    <w:rsid w:val="00AC22D1"/>
    <w:rsid w:val="00AC2A6F"/>
    <w:rsid w:val="00AC2FCB"/>
    <w:rsid w:val="00AC32C0"/>
    <w:rsid w:val="00AC4048"/>
    <w:rsid w:val="00AC43AA"/>
    <w:rsid w:val="00AC6363"/>
    <w:rsid w:val="00AC757E"/>
    <w:rsid w:val="00AC7A21"/>
    <w:rsid w:val="00AC7AE0"/>
    <w:rsid w:val="00AC7F17"/>
    <w:rsid w:val="00AD00AB"/>
    <w:rsid w:val="00AD185B"/>
    <w:rsid w:val="00AD1D85"/>
    <w:rsid w:val="00AD1F70"/>
    <w:rsid w:val="00AD2D6B"/>
    <w:rsid w:val="00AD34E0"/>
    <w:rsid w:val="00AD47E7"/>
    <w:rsid w:val="00AD57FC"/>
    <w:rsid w:val="00AD5B02"/>
    <w:rsid w:val="00AD5BF0"/>
    <w:rsid w:val="00AD70F6"/>
    <w:rsid w:val="00AE148D"/>
    <w:rsid w:val="00AE1698"/>
    <w:rsid w:val="00AE29FA"/>
    <w:rsid w:val="00AE3221"/>
    <w:rsid w:val="00AE64C6"/>
    <w:rsid w:val="00AE68EF"/>
    <w:rsid w:val="00AE6C5A"/>
    <w:rsid w:val="00AE746C"/>
    <w:rsid w:val="00AF0C2A"/>
    <w:rsid w:val="00AF0DC9"/>
    <w:rsid w:val="00AF12A4"/>
    <w:rsid w:val="00AF1E22"/>
    <w:rsid w:val="00AF29BA"/>
    <w:rsid w:val="00AF3857"/>
    <w:rsid w:val="00AF3F91"/>
    <w:rsid w:val="00AF4C13"/>
    <w:rsid w:val="00AF731A"/>
    <w:rsid w:val="00B00507"/>
    <w:rsid w:val="00B00EC7"/>
    <w:rsid w:val="00B01130"/>
    <w:rsid w:val="00B024EC"/>
    <w:rsid w:val="00B05A07"/>
    <w:rsid w:val="00B07043"/>
    <w:rsid w:val="00B071C8"/>
    <w:rsid w:val="00B115E6"/>
    <w:rsid w:val="00B12488"/>
    <w:rsid w:val="00B13C8A"/>
    <w:rsid w:val="00B13CC1"/>
    <w:rsid w:val="00B14DB9"/>
    <w:rsid w:val="00B15013"/>
    <w:rsid w:val="00B15526"/>
    <w:rsid w:val="00B202CB"/>
    <w:rsid w:val="00B2044F"/>
    <w:rsid w:val="00B20D3C"/>
    <w:rsid w:val="00B2155B"/>
    <w:rsid w:val="00B21C9F"/>
    <w:rsid w:val="00B22DCB"/>
    <w:rsid w:val="00B23476"/>
    <w:rsid w:val="00B23488"/>
    <w:rsid w:val="00B23CCC"/>
    <w:rsid w:val="00B241CD"/>
    <w:rsid w:val="00B24616"/>
    <w:rsid w:val="00B25DAE"/>
    <w:rsid w:val="00B275B6"/>
    <w:rsid w:val="00B30DCC"/>
    <w:rsid w:val="00B326A9"/>
    <w:rsid w:val="00B33690"/>
    <w:rsid w:val="00B33BE4"/>
    <w:rsid w:val="00B3479E"/>
    <w:rsid w:val="00B35C35"/>
    <w:rsid w:val="00B36761"/>
    <w:rsid w:val="00B36F2D"/>
    <w:rsid w:val="00B37872"/>
    <w:rsid w:val="00B408DA"/>
    <w:rsid w:val="00B41826"/>
    <w:rsid w:val="00B41934"/>
    <w:rsid w:val="00B41E2F"/>
    <w:rsid w:val="00B43458"/>
    <w:rsid w:val="00B4357F"/>
    <w:rsid w:val="00B437CE"/>
    <w:rsid w:val="00B4475C"/>
    <w:rsid w:val="00B44962"/>
    <w:rsid w:val="00B4671D"/>
    <w:rsid w:val="00B471ED"/>
    <w:rsid w:val="00B4720B"/>
    <w:rsid w:val="00B47B14"/>
    <w:rsid w:val="00B51067"/>
    <w:rsid w:val="00B511AE"/>
    <w:rsid w:val="00B51251"/>
    <w:rsid w:val="00B52734"/>
    <w:rsid w:val="00B528A4"/>
    <w:rsid w:val="00B531F5"/>
    <w:rsid w:val="00B55D2E"/>
    <w:rsid w:val="00B56846"/>
    <w:rsid w:val="00B56865"/>
    <w:rsid w:val="00B569D4"/>
    <w:rsid w:val="00B56B95"/>
    <w:rsid w:val="00B57A7B"/>
    <w:rsid w:val="00B57B68"/>
    <w:rsid w:val="00B57D0E"/>
    <w:rsid w:val="00B57E37"/>
    <w:rsid w:val="00B60D1E"/>
    <w:rsid w:val="00B61945"/>
    <w:rsid w:val="00B619FE"/>
    <w:rsid w:val="00B6263A"/>
    <w:rsid w:val="00B64A3B"/>
    <w:rsid w:val="00B657BD"/>
    <w:rsid w:val="00B65EBE"/>
    <w:rsid w:val="00B66154"/>
    <w:rsid w:val="00B66449"/>
    <w:rsid w:val="00B665F1"/>
    <w:rsid w:val="00B6683B"/>
    <w:rsid w:val="00B66E66"/>
    <w:rsid w:val="00B673B5"/>
    <w:rsid w:val="00B709CA"/>
    <w:rsid w:val="00B70B41"/>
    <w:rsid w:val="00B71E14"/>
    <w:rsid w:val="00B73C24"/>
    <w:rsid w:val="00B76245"/>
    <w:rsid w:val="00B80A7C"/>
    <w:rsid w:val="00B8140C"/>
    <w:rsid w:val="00B81A96"/>
    <w:rsid w:val="00B82B32"/>
    <w:rsid w:val="00B83849"/>
    <w:rsid w:val="00B83C47"/>
    <w:rsid w:val="00B84A33"/>
    <w:rsid w:val="00B8513E"/>
    <w:rsid w:val="00B853FE"/>
    <w:rsid w:val="00B85C86"/>
    <w:rsid w:val="00B865F4"/>
    <w:rsid w:val="00B866FB"/>
    <w:rsid w:val="00B86924"/>
    <w:rsid w:val="00B86FF0"/>
    <w:rsid w:val="00B878F4"/>
    <w:rsid w:val="00B90624"/>
    <w:rsid w:val="00B92B61"/>
    <w:rsid w:val="00B92EEF"/>
    <w:rsid w:val="00B937E0"/>
    <w:rsid w:val="00B93B9A"/>
    <w:rsid w:val="00B95B03"/>
    <w:rsid w:val="00B95D74"/>
    <w:rsid w:val="00B95EB0"/>
    <w:rsid w:val="00B96267"/>
    <w:rsid w:val="00B963BE"/>
    <w:rsid w:val="00B96A9E"/>
    <w:rsid w:val="00B971F3"/>
    <w:rsid w:val="00B97C3C"/>
    <w:rsid w:val="00BA053F"/>
    <w:rsid w:val="00BA1139"/>
    <w:rsid w:val="00BA170B"/>
    <w:rsid w:val="00BA18CE"/>
    <w:rsid w:val="00BA1B0E"/>
    <w:rsid w:val="00BA3B2F"/>
    <w:rsid w:val="00BA3E70"/>
    <w:rsid w:val="00BA6AA3"/>
    <w:rsid w:val="00BA6AD0"/>
    <w:rsid w:val="00BA6E71"/>
    <w:rsid w:val="00BA7A95"/>
    <w:rsid w:val="00BB03D7"/>
    <w:rsid w:val="00BB08B2"/>
    <w:rsid w:val="00BB0C95"/>
    <w:rsid w:val="00BB23DA"/>
    <w:rsid w:val="00BB2CBC"/>
    <w:rsid w:val="00BB32C9"/>
    <w:rsid w:val="00BB43BF"/>
    <w:rsid w:val="00BB576F"/>
    <w:rsid w:val="00BB65D6"/>
    <w:rsid w:val="00BC1087"/>
    <w:rsid w:val="00BC27F9"/>
    <w:rsid w:val="00BC2E56"/>
    <w:rsid w:val="00BC4BB2"/>
    <w:rsid w:val="00BC55CE"/>
    <w:rsid w:val="00BC5A73"/>
    <w:rsid w:val="00BC61A4"/>
    <w:rsid w:val="00BC64DB"/>
    <w:rsid w:val="00BC6C8D"/>
    <w:rsid w:val="00BC6CEA"/>
    <w:rsid w:val="00BC74D4"/>
    <w:rsid w:val="00BC76A7"/>
    <w:rsid w:val="00BD0F8D"/>
    <w:rsid w:val="00BD2C3E"/>
    <w:rsid w:val="00BD2F9F"/>
    <w:rsid w:val="00BD407E"/>
    <w:rsid w:val="00BD4F9D"/>
    <w:rsid w:val="00BD6F6C"/>
    <w:rsid w:val="00BD72F3"/>
    <w:rsid w:val="00BD7577"/>
    <w:rsid w:val="00BE0A3D"/>
    <w:rsid w:val="00BE1010"/>
    <w:rsid w:val="00BE1EFD"/>
    <w:rsid w:val="00BE2A9A"/>
    <w:rsid w:val="00BE4E83"/>
    <w:rsid w:val="00BE5A7B"/>
    <w:rsid w:val="00BE6824"/>
    <w:rsid w:val="00BE7192"/>
    <w:rsid w:val="00BF0E32"/>
    <w:rsid w:val="00BF0ED0"/>
    <w:rsid w:val="00BF11FA"/>
    <w:rsid w:val="00BF3497"/>
    <w:rsid w:val="00BF3AEA"/>
    <w:rsid w:val="00BF41A1"/>
    <w:rsid w:val="00BF4596"/>
    <w:rsid w:val="00BF469B"/>
    <w:rsid w:val="00BF5C4D"/>
    <w:rsid w:val="00BF5F65"/>
    <w:rsid w:val="00BF6DAF"/>
    <w:rsid w:val="00BF71E6"/>
    <w:rsid w:val="00BF7845"/>
    <w:rsid w:val="00C00911"/>
    <w:rsid w:val="00C010CE"/>
    <w:rsid w:val="00C01C9D"/>
    <w:rsid w:val="00C02ACB"/>
    <w:rsid w:val="00C03CC4"/>
    <w:rsid w:val="00C03E35"/>
    <w:rsid w:val="00C0426B"/>
    <w:rsid w:val="00C043A1"/>
    <w:rsid w:val="00C043CB"/>
    <w:rsid w:val="00C04DA7"/>
    <w:rsid w:val="00C04F5C"/>
    <w:rsid w:val="00C04F7F"/>
    <w:rsid w:val="00C0568D"/>
    <w:rsid w:val="00C05C29"/>
    <w:rsid w:val="00C05DC3"/>
    <w:rsid w:val="00C06EA9"/>
    <w:rsid w:val="00C07E64"/>
    <w:rsid w:val="00C10BEB"/>
    <w:rsid w:val="00C117E3"/>
    <w:rsid w:val="00C14B56"/>
    <w:rsid w:val="00C158AA"/>
    <w:rsid w:val="00C158E6"/>
    <w:rsid w:val="00C15B2E"/>
    <w:rsid w:val="00C16866"/>
    <w:rsid w:val="00C209E8"/>
    <w:rsid w:val="00C21278"/>
    <w:rsid w:val="00C218E2"/>
    <w:rsid w:val="00C21F56"/>
    <w:rsid w:val="00C22012"/>
    <w:rsid w:val="00C235FF"/>
    <w:rsid w:val="00C2399A"/>
    <w:rsid w:val="00C239FD"/>
    <w:rsid w:val="00C248C7"/>
    <w:rsid w:val="00C249C4"/>
    <w:rsid w:val="00C261B3"/>
    <w:rsid w:val="00C2711D"/>
    <w:rsid w:val="00C27259"/>
    <w:rsid w:val="00C300DA"/>
    <w:rsid w:val="00C3092C"/>
    <w:rsid w:val="00C31348"/>
    <w:rsid w:val="00C3163C"/>
    <w:rsid w:val="00C31666"/>
    <w:rsid w:val="00C331DF"/>
    <w:rsid w:val="00C34D75"/>
    <w:rsid w:val="00C34F2C"/>
    <w:rsid w:val="00C35C6A"/>
    <w:rsid w:val="00C37B99"/>
    <w:rsid w:val="00C40084"/>
    <w:rsid w:val="00C413A1"/>
    <w:rsid w:val="00C41AEF"/>
    <w:rsid w:val="00C43319"/>
    <w:rsid w:val="00C43C15"/>
    <w:rsid w:val="00C4442C"/>
    <w:rsid w:val="00C4554F"/>
    <w:rsid w:val="00C457B7"/>
    <w:rsid w:val="00C46559"/>
    <w:rsid w:val="00C46EAD"/>
    <w:rsid w:val="00C474BC"/>
    <w:rsid w:val="00C4763D"/>
    <w:rsid w:val="00C50D67"/>
    <w:rsid w:val="00C51DB8"/>
    <w:rsid w:val="00C520B7"/>
    <w:rsid w:val="00C5312B"/>
    <w:rsid w:val="00C534F0"/>
    <w:rsid w:val="00C539D8"/>
    <w:rsid w:val="00C5493D"/>
    <w:rsid w:val="00C5529B"/>
    <w:rsid w:val="00C558D4"/>
    <w:rsid w:val="00C55A18"/>
    <w:rsid w:val="00C55AE2"/>
    <w:rsid w:val="00C56F71"/>
    <w:rsid w:val="00C576FA"/>
    <w:rsid w:val="00C57D8F"/>
    <w:rsid w:val="00C60DDE"/>
    <w:rsid w:val="00C612C4"/>
    <w:rsid w:val="00C61EF2"/>
    <w:rsid w:val="00C625F1"/>
    <w:rsid w:val="00C62FE0"/>
    <w:rsid w:val="00C63008"/>
    <w:rsid w:val="00C63679"/>
    <w:rsid w:val="00C6392C"/>
    <w:rsid w:val="00C63D18"/>
    <w:rsid w:val="00C66311"/>
    <w:rsid w:val="00C666ED"/>
    <w:rsid w:val="00C67137"/>
    <w:rsid w:val="00C7203D"/>
    <w:rsid w:val="00C73EEC"/>
    <w:rsid w:val="00C74376"/>
    <w:rsid w:val="00C7461A"/>
    <w:rsid w:val="00C74A22"/>
    <w:rsid w:val="00C74AAC"/>
    <w:rsid w:val="00C754B7"/>
    <w:rsid w:val="00C75A27"/>
    <w:rsid w:val="00C769B1"/>
    <w:rsid w:val="00C8014F"/>
    <w:rsid w:val="00C81D9D"/>
    <w:rsid w:val="00C81FCE"/>
    <w:rsid w:val="00C8290F"/>
    <w:rsid w:val="00C83535"/>
    <w:rsid w:val="00C838A2"/>
    <w:rsid w:val="00C851DF"/>
    <w:rsid w:val="00C85765"/>
    <w:rsid w:val="00C86E0E"/>
    <w:rsid w:val="00C86F57"/>
    <w:rsid w:val="00C8746E"/>
    <w:rsid w:val="00C875C4"/>
    <w:rsid w:val="00C908AE"/>
    <w:rsid w:val="00C90934"/>
    <w:rsid w:val="00C9113E"/>
    <w:rsid w:val="00C916A8"/>
    <w:rsid w:val="00C936FE"/>
    <w:rsid w:val="00C93D63"/>
    <w:rsid w:val="00C9623A"/>
    <w:rsid w:val="00C96A57"/>
    <w:rsid w:val="00CA09EE"/>
    <w:rsid w:val="00CA0A74"/>
    <w:rsid w:val="00CA19E5"/>
    <w:rsid w:val="00CA1BF0"/>
    <w:rsid w:val="00CA1DCB"/>
    <w:rsid w:val="00CA20C0"/>
    <w:rsid w:val="00CA2342"/>
    <w:rsid w:val="00CA28B9"/>
    <w:rsid w:val="00CA2D64"/>
    <w:rsid w:val="00CA30F0"/>
    <w:rsid w:val="00CA48FE"/>
    <w:rsid w:val="00CA502F"/>
    <w:rsid w:val="00CA5D02"/>
    <w:rsid w:val="00CA5F70"/>
    <w:rsid w:val="00CA6E9B"/>
    <w:rsid w:val="00CA70C2"/>
    <w:rsid w:val="00CA79B9"/>
    <w:rsid w:val="00CA7A72"/>
    <w:rsid w:val="00CB2244"/>
    <w:rsid w:val="00CB2F78"/>
    <w:rsid w:val="00CB4169"/>
    <w:rsid w:val="00CB418A"/>
    <w:rsid w:val="00CB530F"/>
    <w:rsid w:val="00CB5999"/>
    <w:rsid w:val="00CB5ED0"/>
    <w:rsid w:val="00CB6613"/>
    <w:rsid w:val="00CB6737"/>
    <w:rsid w:val="00CB77F0"/>
    <w:rsid w:val="00CC0DF4"/>
    <w:rsid w:val="00CC0FE9"/>
    <w:rsid w:val="00CC1709"/>
    <w:rsid w:val="00CC22D9"/>
    <w:rsid w:val="00CC2381"/>
    <w:rsid w:val="00CC3BBD"/>
    <w:rsid w:val="00CC471E"/>
    <w:rsid w:val="00CC5214"/>
    <w:rsid w:val="00CC5F6E"/>
    <w:rsid w:val="00CC6DC2"/>
    <w:rsid w:val="00CC7A6B"/>
    <w:rsid w:val="00CD0AB5"/>
    <w:rsid w:val="00CD1F8B"/>
    <w:rsid w:val="00CD2E51"/>
    <w:rsid w:val="00CD3EF5"/>
    <w:rsid w:val="00CD45A2"/>
    <w:rsid w:val="00CD4D89"/>
    <w:rsid w:val="00CD681A"/>
    <w:rsid w:val="00CD7DB0"/>
    <w:rsid w:val="00CD7E03"/>
    <w:rsid w:val="00CE04FA"/>
    <w:rsid w:val="00CE0DDB"/>
    <w:rsid w:val="00CE17D6"/>
    <w:rsid w:val="00CE25A2"/>
    <w:rsid w:val="00CE2E50"/>
    <w:rsid w:val="00CE2E83"/>
    <w:rsid w:val="00CE348F"/>
    <w:rsid w:val="00CE3FB0"/>
    <w:rsid w:val="00CE4B9B"/>
    <w:rsid w:val="00CE6204"/>
    <w:rsid w:val="00CF0617"/>
    <w:rsid w:val="00CF2873"/>
    <w:rsid w:val="00CF2BEB"/>
    <w:rsid w:val="00CF2DC9"/>
    <w:rsid w:val="00CF46D3"/>
    <w:rsid w:val="00CF4C30"/>
    <w:rsid w:val="00CF5362"/>
    <w:rsid w:val="00CF5AC2"/>
    <w:rsid w:val="00CF5B4B"/>
    <w:rsid w:val="00CF6BAE"/>
    <w:rsid w:val="00CF75F7"/>
    <w:rsid w:val="00CF79FC"/>
    <w:rsid w:val="00D0192B"/>
    <w:rsid w:val="00D025D4"/>
    <w:rsid w:val="00D02B7C"/>
    <w:rsid w:val="00D02BAB"/>
    <w:rsid w:val="00D03316"/>
    <w:rsid w:val="00D04F08"/>
    <w:rsid w:val="00D04F3D"/>
    <w:rsid w:val="00D056C3"/>
    <w:rsid w:val="00D056F0"/>
    <w:rsid w:val="00D05745"/>
    <w:rsid w:val="00D05788"/>
    <w:rsid w:val="00D06A42"/>
    <w:rsid w:val="00D070E9"/>
    <w:rsid w:val="00D07D15"/>
    <w:rsid w:val="00D10223"/>
    <w:rsid w:val="00D10821"/>
    <w:rsid w:val="00D1086A"/>
    <w:rsid w:val="00D11089"/>
    <w:rsid w:val="00D11401"/>
    <w:rsid w:val="00D116DC"/>
    <w:rsid w:val="00D11C99"/>
    <w:rsid w:val="00D15A8A"/>
    <w:rsid w:val="00D165FA"/>
    <w:rsid w:val="00D175D0"/>
    <w:rsid w:val="00D20356"/>
    <w:rsid w:val="00D2045E"/>
    <w:rsid w:val="00D205B0"/>
    <w:rsid w:val="00D2065B"/>
    <w:rsid w:val="00D206CD"/>
    <w:rsid w:val="00D215CE"/>
    <w:rsid w:val="00D21F35"/>
    <w:rsid w:val="00D21FD9"/>
    <w:rsid w:val="00D22EFD"/>
    <w:rsid w:val="00D23F97"/>
    <w:rsid w:val="00D243EC"/>
    <w:rsid w:val="00D2469C"/>
    <w:rsid w:val="00D24E72"/>
    <w:rsid w:val="00D25ADD"/>
    <w:rsid w:val="00D26203"/>
    <w:rsid w:val="00D266A3"/>
    <w:rsid w:val="00D2747F"/>
    <w:rsid w:val="00D277FB"/>
    <w:rsid w:val="00D27DA2"/>
    <w:rsid w:val="00D31727"/>
    <w:rsid w:val="00D321EA"/>
    <w:rsid w:val="00D33233"/>
    <w:rsid w:val="00D335C4"/>
    <w:rsid w:val="00D3363D"/>
    <w:rsid w:val="00D337E0"/>
    <w:rsid w:val="00D33ED7"/>
    <w:rsid w:val="00D34765"/>
    <w:rsid w:val="00D35CD9"/>
    <w:rsid w:val="00D36C8F"/>
    <w:rsid w:val="00D36CDD"/>
    <w:rsid w:val="00D370E4"/>
    <w:rsid w:val="00D3789A"/>
    <w:rsid w:val="00D37C21"/>
    <w:rsid w:val="00D4043D"/>
    <w:rsid w:val="00D40515"/>
    <w:rsid w:val="00D41784"/>
    <w:rsid w:val="00D43EE7"/>
    <w:rsid w:val="00D44CE7"/>
    <w:rsid w:val="00D455B7"/>
    <w:rsid w:val="00D45A8C"/>
    <w:rsid w:val="00D45EB4"/>
    <w:rsid w:val="00D46948"/>
    <w:rsid w:val="00D46CE8"/>
    <w:rsid w:val="00D46EFC"/>
    <w:rsid w:val="00D47ADC"/>
    <w:rsid w:val="00D5030F"/>
    <w:rsid w:val="00D50587"/>
    <w:rsid w:val="00D50929"/>
    <w:rsid w:val="00D5154F"/>
    <w:rsid w:val="00D51804"/>
    <w:rsid w:val="00D52077"/>
    <w:rsid w:val="00D52A79"/>
    <w:rsid w:val="00D53F5B"/>
    <w:rsid w:val="00D54791"/>
    <w:rsid w:val="00D56AEC"/>
    <w:rsid w:val="00D57224"/>
    <w:rsid w:val="00D57722"/>
    <w:rsid w:val="00D624F3"/>
    <w:rsid w:val="00D62AF4"/>
    <w:rsid w:val="00D62B44"/>
    <w:rsid w:val="00D6320A"/>
    <w:rsid w:val="00D63A65"/>
    <w:rsid w:val="00D63C7B"/>
    <w:rsid w:val="00D64CB3"/>
    <w:rsid w:val="00D6598D"/>
    <w:rsid w:val="00D673FD"/>
    <w:rsid w:val="00D70668"/>
    <w:rsid w:val="00D70763"/>
    <w:rsid w:val="00D71DFA"/>
    <w:rsid w:val="00D72390"/>
    <w:rsid w:val="00D7264E"/>
    <w:rsid w:val="00D728D7"/>
    <w:rsid w:val="00D728DB"/>
    <w:rsid w:val="00D72A3E"/>
    <w:rsid w:val="00D73311"/>
    <w:rsid w:val="00D74212"/>
    <w:rsid w:val="00D74A3D"/>
    <w:rsid w:val="00D7532E"/>
    <w:rsid w:val="00D7585F"/>
    <w:rsid w:val="00D75C00"/>
    <w:rsid w:val="00D763AE"/>
    <w:rsid w:val="00D7640B"/>
    <w:rsid w:val="00D80945"/>
    <w:rsid w:val="00D81786"/>
    <w:rsid w:val="00D838EF"/>
    <w:rsid w:val="00D842F3"/>
    <w:rsid w:val="00D84514"/>
    <w:rsid w:val="00D8575C"/>
    <w:rsid w:val="00D86336"/>
    <w:rsid w:val="00D86CB1"/>
    <w:rsid w:val="00D872D0"/>
    <w:rsid w:val="00D87506"/>
    <w:rsid w:val="00D87ACC"/>
    <w:rsid w:val="00D87D43"/>
    <w:rsid w:val="00D900CA"/>
    <w:rsid w:val="00D9080F"/>
    <w:rsid w:val="00D90E0B"/>
    <w:rsid w:val="00D91F90"/>
    <w:rsid w:val="00D92076"/>
    <w:rsid w:val="00D92FB4"/>
    <w:rsid w:val="00D93F00"/>
    <w:rsid w:val="00D953EB"/>
    <w:rsid w:val="00D9548F"/>
    <w:rsid w:val="00D956C9"/>
    <w:rsid w:val="00D95BE0"/>
    <w:rsid w:val="00D96009"/>
    <w:rsid w:val="00D96204"/>
    <w:rsid w:val="00D97D8E"/>
    <w:rsid w:val="00DA02A3"/>
    <w:rsid w:val="00DA0617"/>
    <w:rsid w:val="00DA069C"/>
    <w:rsid w:val="00DA08CD"/>
    <w:rsid w:val="00DA141C"/>
    <w:rsid w:val="00DA2057"/>
    <w:rsid w:val="00DA29C7"/>
    <w:rsid w:val="00DA29E9"/>
    <w:rsid w:val="00DA3AB9"/>
    <w:rsid w:val="00DA41CA"/>
    <w:rsid w:val="00DA491E"/>
    <w:rsid w:val="00DA5B16"/>
    <w:rsid w:val="00DA63FE"/>
    <w:rsid w:val="00DA659C"/>
    <w:rsid w:val="00DA7451"/>
    <w:rsid w:val="00DA7470"/>
    <w:rsid w:val="00DB0636"/>
    <w:rsid w:val="00DB141C"/>
    <w:rsid w:val="00DB5692"/>
    <w:rsid w:val="00DB6963"/>
    <w:rsid w:val="00DB7651"/>
    <w:rsid w:val="00DB7D31"/>
    <w:rsid w:val="00DC000B"/>
    <w:rsid w:val="00DC1FAB"/>
    <w:rsid w:val="00DC23EA"/>
    <w:rsid w:val="00DC6726"/>
    <w:rsid w:val="00DC7040"/>
    <w:rsid w:val="00DD186B"/>
    <w:rsid w:val="00DD1E94"/>
    <w:rsid w:val="00DD226D"/>
    <w:rsid w:val="00DD48F3"/>
    <w:rsid w:val="00DD4CC6"/>
    <w:rsid w:val="00DD50ED"/>
    <w:rsid w:val="00DD5393"/>
    <w:rsid w:val="00DD5803"/>
    <w:rsid w:val="00DD5A29"/>
    <w:rsid w:val="00DD60D1"/>
    <w:rsid w:val="00DD6346"/>
    <w:rsid w:val="00DD6CA3"/>
    <w:rsid w:val="00DD6CE5"/>
    <w:rsid w:val="00DD711E"/>
    <w:rsid w:val="00DD7330"/>
    <w:rsid w:val="00DD7373"/>
    <w:rsid w:val="00DE0DED"/>
    <w:rsid w:val="00DE1E09"/>
    <w:rsid w:val="00DE220F"/>
    <w:rsid w:val="00DE260C"/>
    <w:rsid w:val="00DE2886"/>
    <w:rsid w:val="00DE2C70"/>
    <w:rsid w:val="00DE3511"/>
    <w:rsid w:val="00DE450D"/>
    <w:rsid w:val="00DE5057"/>
    <w:rsid w:val="00DE5C7E"/>
    <w:rsid w:val="00DE6579"/>
    <w:rsid w:val="00DF03A4"/>
    <w:rsid w:val="00DF2467"/>
    <w:rsid w:val="00DF2B51"/>
    <w:rsid w:val="00DF38C3"/>
    <w:rsid w:val="00DF44A6"/>
    <w:rsid w:val="00DF4516"/>
    <w:rsid w:val="00DF4EEB"/>
    <w:rsid w:val="00DF5B02"/>
    <w:rsid w:val="00DF6E0E"/>
    <w:rsid w:val="00DF7D70"/>
    <w:rsid w:val="00E00F9E"/>
    <w:rsid w:val="00E015F9"/>
    <w:rsid w:val="00E016CF"/>
    <w:rsid w:val="00E0213F"/>
    <w:rsid w:val="00E028CA"/>
    <w:rsid w:val="00E02998"/>
    <w:rsid w:val="00E02F8F"/>
    <w:rsid w:val="00E03148"/>
    <w:rsid w:val="00E03843"/>
    <w:rsid w:val="00E04643"/>
    <w:rsid w:val="00E06ED1"/>
    <w:rsid w:val="00E072D4"/>
    <w:rsid w:val="00E07EAC"/>
    <w:rsid w:val="00E1048C"/>
    <w:rsid w:val="00E11816"/>
    <w:rsid w:val="00E12C4D"/>
    <w:rsid w:val="00E12D1F"/>
    <w:rsid w:val="00E13D24"/>
    <w:rsid w:val="00E13F42"/>
    <w:rsid w:val="00E143F6"/>
    <w:rsid w:val="00E147FD"/>
    <w:rsid w:val="00E148A6"/>
    <w:rsid w:val="00E155AE"/>
    <w:rsid w:val="00E15C5F"/>
    <w:rsid w:val="00E15CBF"/>
    <w:rsid w:val="00E16115"/>
    <w:rsid w:val="00E16BDD"/>
    <w:rsid w:val="00E17196"/>
    <w:rsid w:val="00E178FE"/>
    <w:rsid w:val="00E17CA8"/>
    <w:rsid w:val="00E17EB9"/>
    <w:rsid w:val="00E20C1A"/>
    <w:rsid w:val="00E20FA1"/>
    <w:rsid w:val="00E2136D"/>
    <w:rsid w:val="00E227D6"/>
    <w:rsid w:val="00E22A81"/>
    <w:rsid w:val="00E22FFA"/>
    <w:rsid w:val="00E23928"/>
    <w:rsid w:val="00E23FFB"/>
    <w:rsid w:val="00E25E67"/>
    <w:rsid w:val="00E2631D"/>
    <w:rsid w:val="00E2687D"/>
    <w:rsid w:val="00E272E8"/>
    <w:rsid w:val="00E2731A"/>
    <w:rsid w:val="00E27FCA"/>
    <w:rsid w:val="00E312C3"/>
    <w:rsid w:val="00E31564"/>
    <w:rsid w:val="00E315AA"/>
    <w:rsid w:val="00E32229"/>
    <w:rsid w:val="00E331AA"/>
    <w:rsid w:val="00E33AFF"/>
    <w:rsid w:val="00E349C5"/>
    <w:rsid w:val="00E35558"/>
    <w:rsid w:val="00E35E62"/>
    <w:rsid w:val="00E35FC7"/>
    <w:rsid w:val="00E36C9F"/>
    <w:rsid w:val="00E37F66"/>
    <w:rsid w:val="00E4054E"/>
    <w:rsid w:val="00E407D4"/>
    <w:rsid w:val="00E40F83"/>
    <w:rsid w:val="00E41291"/>
    <w:rsid w:val="00E41ED0"/>
    <w:rsid w:val="00E42284"/>
    <w:rsid w:val="00E4256F"/>
    <w:rsid w:val="00E4306A"/>
    <w:rsid w:val="00E44F1A"/>
    <w:rsid w:val="00E4753C"/>
    <w:rsid w:val="00E5110C"/>
    <w:rsid w:val="00E517E8"/>
    <w:rsid w:val="00E52C6D"/>
    <w:rsid w:val="00E53102"/>
    <w:rsid w:val="00E5380E"/>
    <w:rsid w:val="00E5382D"/>
    <w:rsid w:val="00E55C39"/>
    <w:rsid w:val="00E55CA0"/>
    <w:rsid w:val="00E567EE"/>
    <w:rsid w:val="00E5683B"/>
    <w:rsid w:val="00E568CB"/>
    <w:rsid w:val="00E56A9E"/>
    <w:rsid w:val="00E57218"/>
    <w:rsid w:val="00E57634"/>
    <w:rsid w:val="00E57CFF"/>
    <w:rsid w:val="00E62920"/>
    <w:rsid w:val="00E62F20"/>
    <w:rsid w:val="00E63248"/>
    <w:rsid w:val="00E63B0D"/>
    <w:rsid w:val="00E63D59"/>
    <w:rsid w:val="00E64742"/>
    <w:rsid w:val="00E64A4A"/>
    <w:rsid w:val="00E64ADB"/>
    <w:rsid w:val="00E64C2B"/>
    <w:rsid w:val="00E64E43"/>
    <w:rsid w:val="00E6560F"/>
    <w:rsid w:val="00E66621"/>
    <w:rsid w:val="00E66F1E"/>
    <w:rsid w:val="00E70214"/>
    <w:rsid w:val="00E70874"/>
    <w:rsid w:val="00E70DC7"/>
    <w:rsid w:val="00E71455"/>
    <w:rsid w:val="00E71657"/>
    <w:rsid w:val="00E71787"/>
    <w:rsid w:val="00E71E05"/>
    <w:rsid w:val="00E72630"/>
    <w:rsid w:val="00E73240"/>
    <w:rsid w:val="00E7523B"/>
    <w:rsid w:val="00E759A7"/>
    <w:rsid w:val="00E7737D"/>
    <w:rsid w:val="00E77876"/>
    <w:rsid w:val="00E77E5D"/>
    <w:rsid w:val="00E81C27"/>
    <w:rsid w:val="00E81DDF"/>
    <w:rsid w:val="00E826BF"/>
    <w:rsid w:val="00E85693"/>
    <w:rsid w:val="00E8747B"/>
    <w:rsid w:val="00E90E90"/>
    <w:rsid w:val="00E913E7"/>
    <w:rsid w:val="00E916A0"/>
    <w:rsid w:val="00E91871"/>
    <w:rsid w:val="00E9299E"/>
    <w:rsid w:val="00E9420E"/>
    <w:rsid w:val="00E942BE"/>
    <w:rsid w:val="00E948EE"/>
    <w:rsid w:val="00E95272"/>
    <w:rsid w:val="00E954BC"/>
    <w:rsid w:val="00E95D9E"/>
    <w:rsid w:val="00EA182D"/>
    <w:rsid w:val="00EA1B52"/>
    <w:rsid w:val="00EA2C63"/>
    <w:rsid w:val="00EA3C9D"/>
    <w:rsid w:val="00EA3F5F"/>
    <w:rsid w:val="00EA4136"/>
    <w:rsid w:val="00EA43D0"/>
    <w:rsid w:val="00EA4D5A"/>
    <w:rsid w:val="00EA78FA"/>
    <w:rsid w:val="00EA7DF7"/>
    <w:rsid w:val="00EB01A9"/>
    <w:rsid w:val="00EB073E"/>
    <w:rsid w:val="00EB181C"/>
    <w:rsid w:val="00EB1AB1"/>
    <w:rsid w:val="00EB31F4"/>
    <w:rsid w:val="00EB454A"/>
    <w:rsid w:val="00EB462D"/>
    <w:rsid w:val="00EB4C75"/>
    <w:rsid w:val="00EB4D7E"/>
    <w:rsid w:val="00EB5466"/>
    <w:rsid w:val="00EB73D3"/>
    <w:rsid w:val="00EB7CB2"/>
    <w:rsid w:val="00EC03C8"/>
    <w:rsid w:val="00EC0546"/>
    <w:rsid w:val="00EC0DC2"/>
    <w:rsid w:val="00EC101F"/>
    <w:rsid w:val="00EC2460"/>
    <w:rsid w:val="00EC24E3"/>
    <w:rsid w:val="00EC24F0"/>
    <w:rsid w:val="00EC2783"/>
    <w:rsid w:val="00EC289C"/>
    <w:rsid w:val="00EC4063"/>
    <w:rsid w:val="00EC54A0"/>
    <w:rsid w:val="00EC739F"/>
    <w:rsid w:val="00ED09C8"/>
    <w:rsid w:val="00ED0FE7"/>
    <w:rsid w:val="00ED104A"/>
    <w:rsid w:val="00ED1D7C"/>
    <w:rsid w:val="00ED21B2"/>
    <w:rsid w:val="00ED28DC"/>
    <w:rsid w:val="00ED29B5"/>
    <w:rsid w:val="00ED3016"/>
    <w:rsid w:val="00ED37BB"/>
    <w:rsid w:val="00ED41FC"/>
    <w:rsid w:val="00ED557E"/>
    <w:rsid w:val="00ED5738"/>
    <w:rsid w:val="00ED58A8"/>
    <w:rsid w:val="00ED6C70"/>
    <w:rsid w:val="00EE082B"/>
    <w:rsid w:val="00EE118E"/>
    <w:rsid w:val="00EE4544"/>
    <w:rsid w:val="00EE5475"/>
    <w:rsid w:val="00EE5D39"/>
    <w:rsid w:val="00EE71C6"/>
    <w:rsid w:val="00EE7679"/>
    <w:rsid w:val="00EE779D"/>
    <w:rsid w:val="00EE77B6"/>
    <w:rsid w:val="00EF01AB"/>
    <w:rsid w:val="00EF1D26"/>
    <w:rsid w:val="00EF2641"/>
    <w:rsid w:val="00EF2A6B"/>
    <w:rsid w:val="00EF2B8B"/>
    <w:rsid w:val="00EF334E"/>
    <w:rsid w:val="00EF7139"/>
    <w:rsid w:val="00F015B6"/>
    <w:rsid w:val="00F016D8"/>
    <w:rsid w:val="00F01C13"/>
    <w:rsid w:val="00F0200F"/>
    <w:rsid w:val="00F031E9"/>
    <w:rsid w:val="00F03B94"/>
    <w:rsid w:val="00F040E2"/>
    <w:rsid w:val="00F04254"/>
    <w:rsid w:val="00F04BCD"/>
    <w:rsid w:val="00F04CE1"/>
    <w:rsid w:val="00F05F37"/>
    <w:rsid w:val="00F07B2A"/>
    <w:rsid w:val="00F111BE"/>
    <w:rsid w:val="00F12E38"/>
    <w:rsid w:val="00F1301D"/>
    <w:rsid w:val="00F13E62"/>
    <w:rsid w:val="00F143D9"/>
    <w:rsid w:val="00F148CA"/>
    <w:rsid w:val="00F15FC8"/>
    <w:rsid w:val="00F20D8A"/>
    <w:rsid w:val="00F219A1"/>
    <w:rsid w:val="00F21D23"/>
    <w:rsid w:val="00F21D9C"/>
    <w:rsid w:val="00F223FE"/>
    <w:rsid w:val="00F233EA"/>
    <w:rsid w:val="00F243E0"/>
    <w:rsid w:val="00F254D8"/>
    <w:rsid w:val="00F26619"/>
    <w:rsid w:val="00F27969"/>
    <w:rsid w:val="00F27C57"/>
    <w:rsid w:val="00F30AA4"/>
    <w:rsid w:val="00F30BC4"/>
    <w:rsid w:val="00F3142F"/>
    <w:rsid w:val="00F322C2"/>
    <w:rsid w:val="00F32304"/>
    <w:rsid w:val="00F32A6A"/>
    <w:rsid w:val="00F33C95"/>
    <w:rsid w:val="00F33E93"/>
    <w:rsid w:val="00F3483C"/>
    <w:rsid w:val="00F35251"/>
    <w:rsid w:val="00F37604"/>
    <w:rsid w:val="00F41274"/>
    <w:rsid w:val="00F425F9"/>
    <w:rsid w:val="00F444F0"/>
    <w:rsid w:val="00F44514"/>
    <w:rsid w:val="00F44DEA"/>
    <w:rsid w:val="00F44FDB"/>
    <w:rsid w:val="00F47F10"/>
    <w:rsid w:val="00F5198A"/>
    <w:rsid w:val="00F53B08"/>
    <w:rsid w:val="00F562E2"/>
    <w:rsid w:val="00F566C3"/>
    <w:rsid w:val="00F56706"/>
    <w:rsid w:val="00F574D0"/>
    <w:rsid w:val="00F60BF9"/>
    <w:rsid w:val="00F61C95"/>
    <w:rsid w:val="00F62840"/>
    <w:rsid w:val="00F630CD"/>
    <w:rsid w:val="00F63F84"/>
    <w:rsid w:val="00F64A6D"/>
    <w:rsid w:val="00F64AFA"/>
    <w:rsid w:val="00F64C5A"/>
    <w:rsid w:val="00F653D6"/>
    <w:rsid w:val="00F6582B"/>
    <w:rsid w:val="00F65905"/>
    <w:rsid w:val="00F65AA3"/>
    <w:rsid w:val="00F65CFB"/>
    <w:rsid w:val="00F66593"/>
    <w:rsid w:val="00F66A80"/>
    <w:rsid w:val="00F6798E"/>
    <w:rsid w:val="00F67BAA"/>
    <w:rsid w:val="00F702B3"/>
    <w:rsid w:val="00F70300"/>
    <w:rsid w:val="00F70EF3"/>
    <w:rsid w:val="00F72007"/>
    <w:rsid w:val="00F72648"/>
    <w:rsid w:val="00F72BA6"/>
    <w:rsid w:val="00F73B48"/>
    <w:rsid w:val="00F73D9C"/>
    <w:rsid w:val="00F7416E"/>
    <w:rsid w:val="00F75CEE"/>
    <w:rsid w:val="00F7646C"/>
    <w:rsid w:val="00F7715C"/>
    <w:rsid w:val="00F776EB"/>
    <w:rsid w:val="00F77A05"/>
    <w:rsid w:val="00F77CD2"/>
    <w:rsid w:val="00F803A4"/>
    <w:rsid w:val="00F80C5A"/>
    <w:rsid w:val="00F81821"/>
    <w:rsid w:val="00F81E51"/>
    <w:rsid w:val="00F8245F"/>
    <w:rsid w:val="00F82DE4"/>
    <w:rsid w:val="00F83B7D"/>
    <w:rsid w:val="00F845CC"/>
    <w:rsid w:val="00F8466D"/>
    <w:rsid w:val="00F84834"/>
    <w:rsid w:val="00F851CC"/>
    <w:rsid w:val="00F8595A"/>
    <w:rsid w:val="00F86661"/>
    <w:rsid w:val="00F86EF5"/>
    <w:rsid w:val="00F901CA"/>
    <w:rsid w:val="00F93207"/>
    <w:rsid w:val="00F9338D"/>
    <w:rsid w:val="00F9397A"/>
    <w:rsid w:val="00F95021"/>
    <w:rsid w:val="00F95139"/>
    <w:rsid w:val="00F9531B"/>
    <w:rsid w:val="00F964B4"/>
    <w:rsid w:val="00F96FEB"/>
    <w:rsid w:val="00F97145"/>
    <w:rsid w:val="00F97DF3"/>
    <w:rsid w:val="00FA00C4"/>
    <w:rsid w:val="00FA1617"/>
    <w:rsid w:val="00FA19AA"/>
    <w:rsid w:val="00FA466F"/>
    <w:rsid w:val="00FA6853"/>
    <w:rsid w:val="00FA69B8"/>
    <w:rsid w:val="00FB0426"/>
    <w:rsid w:val="00FB0427"/>
    <w:rsid w:val="00FB05E7"/>
    <w:rsid w:val="00FB0631"/>
    <w:rsid w:val="00FB0F3D"/>
    <w:rsid w:val="00FB22E2"/>
    <w:rsid w:val="00FB2627"/>
    <w:rsid w:val="00FB29EA"/>
    <w:rsid w:val="00FB2E4D"/>
    <w:rsid w:val="00FB339F"/>
    <w:rsid w:val="00FB366E"/>
    <w:rsid w:val="00FB4556"/>
    <w:rsid w:val="00FB4638"/>
    <w:rsid w:val="00FB47B8"/>
    <w:rsid w:val="00FB4BA3"/>
    <w:rsid w:val="00FB5B61"/>
    <w:rsid w:val="00FB5C68"/>
    <w:rsid w:val="00FB5F57"/>
    <w:rsid w:val="00FB71C5"/>
    <w:rsid w:val="00FB7578"/>
    <w:rsid w:val="00FB75F9"/>
    <w:rsid w:val="00FB77B6"/>
    <w:rsid w:val="00FC081F"/>
    <w:rsid w:val="00FC0E66"/>
    <w:rsid w:val="00FC1D15"/>
    <w:rsid w:val="00FC2386"/>
    <w:rsid w:val="00FC2869"/>
    <w:rsid w:val="00FC3465"/>
    <w:rsid w:val="00FC4A42"/>
    <w:rsid w:val="00FC523C"/>
    <w:rsid w:val="00FC5987"/>
    <w:rsid w:val="00FC63CA"/>
    <w:rsid w:val="00FD01AA"/>
    <w:rsid w:val="00FD06D2"/>
    <w:rsid w:val="00FD13D1"/>
    <w:rsid w:val="00FD1742"/>
    <w:rsid w:val="00FD2006"/>
    <w:rsid w:val="00FD22DA"/>
    <w:rsid w:val="00FD27CF"/>
    <w:rsid w:val="00FD3BD6"/>
    <w:rsid w:val="00FD4632"/>
    <w:rsid w:val="00FD4E20"/>
    <w:rsid w:val="00FD5090"/>
    <w:rsid w:val="00FD5590"/>
    <w:rsid w:val="00FD7408"/>
    <w:rsid w:val="00FE2833"/>
    <w:rsid w:val="00FE2CF6"/>
    <w:rsid w:val="00FE4262"/>
    <w:rsid w:val="00FE4444"/>
    <w:rsid w:val="00FE473A"/>
    <w:rsid w:val="00FE4C10"/>
    <w:rsid w:val="00FE6A94"/>
    <w:rsid w:val="00FF03F0"/>
    <w:rsid w:val="00FF1EBA"/>
    <w:rsid w:val="00FF21A8"/>
    <w:rsid w:val="00FF22E9"/>
    <w:rsid w:val="00FF39AD"/>
    <w:rsid w:val="00FF3A8A"/>
    <w:rsid w:val="00FF425A"/>
    <w:rsid w:val="00FF45F5"/>
    <w:rsid w:val="010017C0"/>
    <w:rsid w:val="01015B5A"/>
    <w:rsid w:val="015226E8"/>
    <w:rsid w:val="01694A00"/>
    <w:rsid w:val="016B0BD3"/>
    <w:rsid w:val="01E65CA9"/>
    <w:rsid w:val="021D229B"/>
    <w:rsid w:val="02383AF0"/>
    <w:rsid w:val="025E6E84"/>
    <w:rsid w:val="025F4662"/>
    <w:rsid w:val="027666B0"/>
    <w:rsid w:val="0285628A"/>
    <w:rsid w:val="02997593"/>
    <w:rsid w:val="02CB41D0"/>
    <w:rsid w:val="0348159A"/>
    <w:rsid w:val="034D5518"/>
    <w:rsid w:val="034F3D2C"/>
    <w:rsid w:val="037C7044"/>
    <w:rsid w:val="03B86720"/>
    <w:rsid w:val="03C1253E"/>
    <w:rsid w:val="03D74DA8"/>
    <w:rsid w:val="03DB0660"/>
    <w:rsid w:val="048D6A13"/>
    <w:rsid w:val="04F90E04"/>
    <w:rsid w:val="056A6899"/>
    <w:rsid w:val="05903DEA"/>
    <w:rsid w:val="059D303E"/>
    <w:rsid w:val="06440D2F"/>
    <w:rsid w:val="06524EB8"/>
    <w:rsid w:val="06993F15"/>
    <w:rsid w:val="07197CA2"/>
    <w:rsid w:val="072A167F"/>
    <w:rsid w:val="07344C04"/>
    <w:rsid w:val="07D86C35"/>
    <w:rsid w:val="07DD5684"/>
    <w:rsid w:val="084A5B5E"/>
    <w:rsid w:val="089F7EAE"/>
    <w:rsid w:val="08BD07AC"/>
    <w:rsid w:val="08E47CBD"/>
    <w:rsid w:val="08ED64C0"/>
    <w:rsid w:val="09036DDB"/>
    <w:rsid w:val="09116927"/>
    <w:rsid w:val="09254870"/>
    <w:rsid w:val="09972A60"/>
    <w:rsid w:val="09CD37D5"/>
    <w:rsid w:val="09CF47C3"/>
    <w:rsid w:val="0A711711"/>
    <w:rsid w:val="0A752534"/>
    <w:rsid w:val="0A9632AE"/>
    <w:rsid w:val="0A983A26"/>
    <w:rsid w:val="0AC77248"/>
    <w:rsid w:val="0B077F8D"/>
    <w:rsid w:val="0B0F2CB4"/>
    <w:rsid w:val="0B964E12"/>
    <w:rsid w:val="0BD13BA5"/>
    <w:rsid w:val="0BFC5617"/>
    <w:rsid w:val="0C196DA1"/>
    <w:rsid w:val="0C275B51"/>
    <w:rsid w:val="0C495AE4"/>
    <w:rsid w:val="0C5302D8"/>
    <w:rsid w:val="0C90198A"/>
    <w:rsid w:val="0C9948DD"/>
    <w:rsid w:val="0D2F69D6"/>
    <w:rsid w:val="0D67623C"/>
    <w:rsid w:val="0D6E0841"/>
    <w:rsid w:val="0DC9516D"/>
    <w:rsid w:val="0E4D51BC"/>
    <w:rsid w:val="0E6574A4"/>
    <w:rsid w:val="0EB43226"/>
    <w:rsid w:val="0ED94348"/>
    <w:rsid w:val="0EDE4174"/>
    <w:rsid w:val="0EF25E12"/>
    <w:rsid w:val="0EFD7D17"/>
    <w:rsid w:val="0F8B118C"/>
    <w:rsid w:val="10202503"/>
    <w:rsid w:val="103E555D"/>
    <w:rsid w:val="10633DF4"/>
    <w:rsid w:val="10944BA1"/>
    <w:rsid w:val="10B34D97"/>
    <w:rsid w:val="11733C86"/>
    <w:rsid w:val="11E132E5"/>
    <w:rsid w:val="11F25F4F"/>
    <w:rsid w:val="129D4CD5"/>
    <w:rsid w:val="13755DAD"/>
    <w:rsid w:val="137B5074"/>
    <w:rsid w:val="13A81EFE"/>
    <w:rsid w:val="144E2788"/>
    <w:rsid w:val="14771D12"/>
    <w:rsid w:val="14A47277"/>
    <w:rsid w:val="14BB2FA8"/>
    <w:rsid w:val="14F746A2"/>
    <w:rsid w:val="14FD1746"/>
    <w:rsid w:val="15592ED7"/>
    <w:rsid w:val="15D246DD"/>
    <w:rsid w:val="15DE3286"/>
    <w:rsid w:val="16185653"/>
    <w:rsid w:val="161E7B4C"/>
    <w:rsid w:val="16601870"/>
    <w:rsid w:val="166F1FB3"/>
    <w:rsid w:val="16CB1412"/>
    <w:rsid w:val="16EC6800"/>
    <w:rsid w:val="170B07EA"/>
    <w:rsid w:val="17494CAD"/>
    <w:rsid w:val="17546308"/>
    <w:rsid w:val="1757379D"/>
    <w:rsid w:val="17880FC1"/>
    <w:rsid w:val="17972D13"/>
    <w:rsid w:val="17974DC1"/>
    <w:rsid w:val="17D9680D"/>
    <w:rsid w:val="18047D2E"/>
    <w:rsid w:val="18394550"/>
    <w:rsid w:val="1849308E"/>
    <w:rsid w:val="1861364D"/>
    <w:rsid w:val="188512EA"/>
    <w:rsid w:val="18A82680"/>
    <w:rsid w:val="18C30B53"/>
    <w:rsid w:val="19803BEB"/>
    <w:rsid w:val="19FB3199"/>
    <w:rsid w:val="1A076A6B"/>
    <w:rsid w:val="1A0D1257"/>
    <w:rsid w:val="1A4B7528"/>
    <w:rsid w:val="1B1D6481"/>
    <w:rsid w:val="1B296C1B"/>
    <w:rsid w:val="1B54283C"/>
    <w:rsid w:val="1B76766D"/>
    <w:rsid w:val="1BBB420C"/>
    <w:rsid w:val="1C523682"/>
    <w:rsid w:val="1C7F1253"/>
    <w:rsid w:val="1CA11788"/>
    <w:rsid w:val="1CB3762C"/>
    <w:rsid w:val="1CD20DC8"/>
    <w:rsid w:val="1CD56BC6"/>
    <w:rsid w:val="1D4D086B"/>
    <w:rsid w:val="1D505313"/>
    <w:rsid w:val="1D840FC9"/>
    <w:rsid w:val="1DDB1AB5"/>
    <w:rsid w:val="1E194B93"/>
    <w:rsid w:val="1E9F3AD9"/>
    <w:rsid w:val="1EBE0353"/>
    <w:rsid w:val="1F0D0193"/>
    <w:rsid w:val="1F3860BE"/>
    <w:rsid w:val="1F5B4F3E"/>
    <w:rsid w:val="1F657083"/>
    <w:rsid w:val="1F7E5931"/>
    <w:rsid w:val="1F961B72"/>
    <w:rsid w:val="1FB417E7"/>
    <w:rsid w:val="201670C7"/>
    <w:rsid w:val="206A52BB"/>
    <w:rsid w:val="20857A2D"/>
    <w:rsid w:val="20A05358"/>
    <w:rsid w:val="20B11971"/>
    <w:rsid w:val="20C16E58"/>
    <w:rsid w:val="20CF4582"/>
    <w:rsid w:val="20F20966"/>
    <w:rsid w:val="212F2E76"/>
    <w:rsid w:val="21440B2D"/>
    <w:rsid w:val="217505C5"/>
    <w:rsid w:val="21CB1C6A"/>
    <w:rsid w:val="21DA0423"/>
    <w:rsid w:val="21EA18A9"/>
    <w:rsid w:val="22012D05"/>
    <w:rsid w:val="224366C4"/>
    <w:rsid w:val="22702C63"/>
    <w:rsid w:val="227E7F0A"/>
    <w:rsid w:val="22E329CA"/>
    <w:rsid w:val="22E60DF2"/>
    <w:rsid w:val="22EC7098"/>
    <w:rsid w:val="232A17AA"/>
    <w:rsid w:val="233A10AC"/>
    <w:rsid w:val="23BC770E"/>
    <w:rsid w:val="242E22AF"/>
    <w:rsid w:val="25020848"/>
    <w:rsid w:val="25BE6C23"/>
    <w:rsid w:val="266F3E37"/>
    <w:rsid w:val="26973BC4"/>
    <w:rsid w:val="26C90A50"/>
    <w:rsid w:val="27383CF0"/>
    <w:rsid w:val="27427F2B"/>
    <w:rsid w:val="27960276"/>
    <w:rsid w:val="27A25B5C"/>
    <w:rsid w:val="27F84069"/>
    <w:rsid w:val="28437EFD"/>
    <w:rsid w:val="292F09B7"/>
    <w:rsid w:val="293F0946"/>
    <w:rsid w:val="294840E7"/>
    <w:rsid w:val="2A0E5924"/>
    <w:rsid w:val="2A5B702F"/>
    <w:rsid w:val="2B2A31B0"/>
    <w:rsid w:val="2B9144AB"/>
    <w:rsid w:val="2BAE085A"/>
    <w:rsid w:val="2BE37EB8"/>
    <w:rsid w:val="2BF04236"/>
    <w:rsid w:val="2BF93335"/>
    <w:rsid w:val="2C1D128D"/>
    <w:rsid w:val="2C3774B8"/>
    <w:rsid w:val="2C4F007E"/>
    <w:rsid w:val="2C8A7E28"/>
    <w:rsid w:val="2CB67F91"/>
    <w:rsid w:val="2CB73157"/>
    <w:rsid w:val="2CBA3AD5"/>
    <w:rsid w:val="2CEA44B0"/>
    <w:rsid w:val="2CEC2689"/>
    <w:rsid w:val="2D1F4F10"/>
    <w:rsid w:val="2D510FD2"/>
    <w:rsid w:val="2D7E252F"/>
    <w:rsid w:val="2DA3461A"/>
    <w:rsid w:val="2DBB0BF1"/>
    <w:rsid w:val="2DC66297"/>
    <w:rsid w:val="2E3925B8"/>
    <w:rsid w:val="2E552C39"/>
    <w:rsid w:val="2E620EB2"/>
    <w:rsid w:val="2E6652E9"/>
    <w:rsid w:val="2ECE6548"/>
    <w:rsid w:val="2ED32ABC"/>
    <w:rsid w:val="2F587AB4"/>
    <w:rsid w:val="2FD773F9"/>
    <w:rsid w:val="306A73AD"/>
    <w:rsid w:val="30963095"/>
    <w:rsid w:val="30D36139"/>
    <w:rsid w:val="30FA5B76"/>
    <w:rsid w:val="315A3137"/>
    <w:rsid w:val="315E75F5"/>
    <w:rsid w:val="31634C13"/>
    <w:rsid w:val="31941D05"/>
    <w:rsid w:val="31FA17DD"/>
    <w:rsid w:val="323D4289"/>
    <w:rsid w:val="32A91890"/>
    <w:rsid w:val="32B15C8F"/>
    <w:rsid w:val="32DF3241"/>
    <w:rsid w:val="32EB03FA"/>
    <w:rsid w:val="33077036"/>
    <w:rsid w:val="33A1422B"/>
    <w:rsid w:val="33A414E0"/>
    <w:rsid w:val="33E077A2"/>
    <w:rsid w:val="34395F3F"/>
    <w:rsid w:val="344F0870"/>
    <w:rsid w:val="34885CEC"/>
    <w:rsid w:val="34EB5B04"/>
    <w:rsid w:val="3523012E"/>
    <w:rsid w:val="35383392"/>
    <w:rsid w:val="355C3725"/>
    <w:rsid w:val="3595206E"/>
    <w:rsid w:val="35E52AF5"/>
    <w:rsid w:val="35EE1EF0"/>
    <w:rsid w:val="361768AC"/>
    <w:rsid w:val="36214017"/>
    <w:rsid w:val="3670245E"/>
    <w:rsid w:val="36A07A9B"/>
    <w:rsid w:val="36AD0F08"/>
    <w:rsid w:val="375F2433"/>
    <w:rsid w:val="37B9636A"/>
    <w:rsid w:val="37C44441"/>
    <w:rsid w:val="38957B5A"/>
    <w:rsid w:val="38C70D9A"/>
    <w:rsid w:val="38E51DA3"/>
    <w:rsid w:val="38F01B16"/>
    <w:rsid w:val="39425316"/>
    <w:rsid w:val="39513FFD"/>
    <w:rsid w:val="396F3F04"/>
    <w:rsid w:val="39C532ED"/>
    <w:rsid w:val="3A285D6F"/>
    <w:rsid w:val="3A49053A"/>
    <w:rsid w:val="3A993EAC"/>
    <w:rsid w:val="3A9E14C4"/>
    <w:rsid w:val="3AA85CAB"/>
    <w:rsid w:val="3AB4242E"/>
    <w:rsid w:val="3AB5795C"/>
    <w:rsid w:val="3ABF40FC"/>
    <w:rsid w:val="3AC54090"/>
    <w:rsid w:val="3AD05FF6"/>
    <w:rsid w:val="3AE624DC"/>
    <w:rsid w:val="3B171793"/>
    <w:rsid w:val="3B540915"/>
    <w:rsid w:val="3B7D07A7"/>
    <w:rsid w:val="3B827485"/>
    <w:rsid w:val="3B8E318D"/>
    <w:rsid w:val="3BEC028C"/>
    <w:rsid w:val="3C092C1F"/>
    <w:rsid w:val="3C8F75B2"/>
    <w:rsid w:val="3CB530E9"/>
    <w:rsid w:val="3CC24CF6"/>
    <w:rsid w:val="3CD12B88"/>
    <w:rsid w:val="3CFD38E2"/>
    <w:rsid w:val="3D133F13"/>
    <w:rsid w:val="3D1C6419"/>
    <w:rsid w:val="3D2E43FD"/>
    <w:rsid w:val="3D587B40"/>
    <w:rsid w:val="3D926B1D"/>
    <w:rsid w:val="3E1E054C"/>
    <w:rsid w:val="3E246184"/>
    <w:rsid w:val="3E3263C1"/>
    <w:rsid w:val="3E3D604F"/>
    <w:rsid w:val="3E89397C"/>
    <w:rsid w:val="3E8C1C05"/>
    <w:rsid w:val="3E941710"/>
    <w:rsid w:val="3EA11583"/>
    <w:rsid w:val="3F0351C2"/>
    <w:rsid w:val="3F2709ED"/>
    <w:rsid w:val="3F361D71"/>
    <w:rsid w:val="3F801372"/>
    <w:rsid w:val="3F823532"/>
    <w:rsid w:val="3F830DE2"/>
    <w:rsid w:val="3F9E6F08"/>
    <w:rsid w:val="40017694"/>
    <w:rsid w:val="40074387"/>
    <w:rsid w:val="400D5C63"/>
    <w:rsid w:val="405D2E11"/>
    <w:rsid w:val="41367867"/>
    <w:rsid w:val="41553FF3"/>
    <w:rsid w:val="41B07DB4"/>
    <w:rsid w:val="41D04892"/>
    <w:rsid w:val="41FF4DFA"/>
    <w:rsid w:val="41FF6063"/>
    <w:rsid w:val="4225066E"/>
    <w:rsid w:val="422D743B"/>
    <w:rsid w:val="423E7942"/>
    <w:rsid w:val="428E6D9E"/>
    <w:rsid w:val="42932BC2"/>
    <w:rsid w:val="42D90F0E"/>
    <w:rsid w:val="430E0505"/>
    <w:rsid w:val="431523E7"/>
    <w:rsid w:val="4337687A"/>
    <w:rsid w:val="439E60B3"/>
    <w:rsid w:val="43AB20C9"/>
    <w:rsid w:val="43DD4521"/>
    <w:rsid w:val="444827E4"/>
    <w:rsid w:val="44C9235E"/>
    <w:rsid w:val="44D57817"/>
    <w:rsid w:val="44FF13B3"/>
    <w:rsid w:val="453E18DA"/>
    <w:rsid w:val="4548148C"/>
    <w:rsid w:val="45491D1D"/>
    <w:rsid w:val="458078BB"/>
    <w:rsid w:val="45A80B02"/>
    <w:rsid w:val="46237DE8"/>
    <w:rsid w:val="463F7FFF"/>
    <w:rsid w:val="469655E3"/>
    <w:rsid w:val="46F5436C"/>
    <w:rsid w:val="4749462C"/>
    <w:rsid w:val="477E1E2D"/>
    <w:rsid w:val="47980DC1"/>
    <w:rsid w:val="47B60B75"/>
    <w:rsid w:val="47E8335F"/>
    <w:rsid w:val="47E95997"/>
    <w:rsid w:val="47F505C7"/>
    <w:rsid w:val="481728B6"/>
    <w:rsid w:val="481D485C"/>
    <w:rsid w:val="48401E0D"/>
    <w:rsid w:val="48577940"/>
    <w:rsid w:val="486C7216"/>
    <w:rsid w:val="4945069D"/>
    <w:rsid w:val="4946356C"/>
    <w:rsid w:val="49590097"/>
    <w:rsid w:val="49A00E01"/>
    <w:rsid w:val="4A91694F"/>
    <w:rsid w:val="4A92599C"/>
    <w:rsid w:val="4AB4052F"/>
    <w:rsid w:val="4AFB4C9E"/>
    <w:rsid w:val="4B02538F"/>
    <w:rsid w:val="4B2A1F76"/>
    <w:rsid w:val="4B2B25EA"/>
    <w:rsid w:val="4B2C55F7"/>
    <w:rsid w:val="4B2F32E0"/>
    <w:rsid w:val="4B316566"/>
    <w:rsid w:val="4B95421D"/>
    <w:rsid w:val="4BAF2D5C"/>
    <w:rsid w:val="4BC27203"/>
    <w:rsid w:val="4BCC634F"/>
    <w:rsid w:val="4BD20FCE"/>
    <w:rsid w:val="4C16595D"/>
    <w:rsid w:val="4CCE5C39"/>
    <w:rsid w:val="4D051DBB"/>
    <w:rsid w:val="4D3A623A"/>
    <w:rsid w:val="4D44143F"/>
    <w:rsid w:val="4D4561CC"/>
    <w:rsid w:val="4D7D3A6D"/>
    <w:rsid w:val="4D981DA3"/>
    <w:rsid w:val="4E255944"/>
    <w:rsid w:val="4E472F1E"/>
    <w:rsid w:val="4EDB2B37"/>
    <w:rsid w:val="4EEB32EF"/>
    <w:rsid w:val="4EF0006A"/>
    <w:rsid w:val="505848C6"/>
    <w:rsid w:val="5065225B"/>
    <w:rsid w:val="50657919"/>
    <w:rsid w:val="50744990"/>
    <w:rsid w:val="507A5B0E"/>
    <w:rsid w:val="50B4617C"/>
    <w:rsid w:val="50D54D92"/>
    <w:rsid w:val="510A2F6B"/>
    <w:rsid w:val="52306F17"/>
    <w:rsid w:val="527A53D6"/>
    <w:rsid w:val="52AF06DC"/>
    <w:rsid w:val="52B82062"/>
    <w:rsid w:val="52C027F2"/>
    <w:rsid w:val="52CA6438"/>
    <w:rsid w:val="534D7C2A"/>
    <w:rsid w:val="54006246"/>
    <w:rsid w:val="541C2554"/>
    <w:rsid w:val="54254394"/>
    <w:rsid w:val="54912133"/>
    <w:rsid w:val="54AC77FF"/>
    <w:rsid w:val="54BE6593"/>
    <w:rsid w:val="54C3493C"/>
    <w:rsid w:val="54F72353"/>
    <w:rsid w:val="55841E40"/>
    <w:rsid w:val="55D3606E"/>
    <w:rsid w:val="55D51354"/>
    <w:rsid w:val="55DF3596"/>
    <w:rsid w:val="56344F69"/>
    <w:rsid w:val="56DA41CC"/>
    <w:rsid w:val="577B4322"/>
    <w:rsid w:val="583413D8"/>
    <w:rsid w:val="589C308F"/>
    <w:rsid w:val="58AE0142"/>
    <w:rsid w:val="59262AE9"/>
    <w:rsid w:val="59A85309"/>
    <w:rsid w:val="5A4511BC"/>
    <w:rsid w:val="5A696FA1"/>
    <w:rsid w:val="5A6D7B5D"/>
    <w:rsid w:val="5A6E0D8C"/>
    <w:rsid w:val="5B2D506A"/>
    <w:rsid w:val="5BCA4DF4"/>
    <w:rsid w:val="5C390BF5"/>
    <w:rsid w:val="5C584E7F"/>
    <w:rsid w:val="5CB16BAD"/>
    <w:rsid w:val="5D065646"/>
    <w:rsid w:val="5D6416C7"/>
    <w:rsid w:val="5D8266D4"/>
    <w:rsid w:val="5DE66276"/>
    <w:rsid w:val="5E3942FD"/>
    <w:rsid w:val="5EE01CCD"/>
    <w:rsid w:val="5EE5015A"/>
    <w:rsid w:val="5F235874"/>
    <w:rsid w:val="5F3B2B70"/>
    <w:rsid w:val="5F462224"/>
    <w:rsid w:val="5F8E2E3A"/>
    <w:rsid w:val="5FB956B2"/>
    <w:rsid w:val="5FDE5E46"/>
    <w:rsid w:val="5FF84E06"/>
    <w:rsid w:val="600A2FD4"/>
    <w:rsid w:val="60217217"/>
    <w:rsid w:val="603C49A6"/>
    <w:rsid w:val="605C5014"/>
    <w:rsid w:val="605E50CE"/>
    <w:rsid w:val="60A00CB1"/>
    <w:rsid w:val="60FA67C0"/>
    <w:rsid w:val="615D1FA8"/>
    <w:rsid w:val="618C028E"/>
    <w:rsid w:val="61F205D2"/>
    <w:rsid w:val="62223900"/>
    <w:rsid w:val="62384EB6"/>
    <w:rsid w:val="62681B53"/>
    <w:rsid w:val="626F578A"/>
    <w:rsid w:val="62844EF6"/>
    <w:rsid w:val="62FF5340"/>
    <w:rsid w:val="633954B9"/>
    <w:rsid w:val="63D73B49"/>
    <w:rsid w:val="63FD25A4"/>
    <w:rsid w:val="64622E98"/>
    <w:rsid w:val="65857B66"/>
    <w:rsid w:val="65A42FD3"/>
    <w:rsid w:val="666B0712"/>
    <w:rsid w:val="66EE3C2C"/>
    <w:rsid w:val="67035A70"/>
    <w:rsid w:val="67312852"/>
    <w:rsid w:val="675D091E"/>
    <w:rsid w:val="677B6C6B"/>
    <w:rsid w:val="67AF294E"/>
    <w:rsid w:val="68B4346D"/>
    <w:rsid w:val="691411EA"/>
    <w:rsid w:val="6916430C"/>
    <w:rsid w:val="6959584C"/>
    <w:rsid w:val="69BE4B4F"/>
    <w:rsid w:val="69C2705D"/>
    <w:rsid w:val="69C9449D"/>
    <w:rsid w:val="69D179E8"/>
    <w:rsid w:val="6A110793"/>
    <w:rsid w:val="6A3E16E0"/>
    <w:rsid w:val="6A4C2854"/>
    <w:rsid w:val="6A5362FF"/>
    <w:rsid w:val="6A615AE1"/>
    <w:rsid w:val="6AAF3707"/>
    <w:rsid w:val="6B94392F"/>
    <w:rsid w:val="6BCE5A22"/>
    <w:rsid w:val="6BD67D54"/>
    <w:rsid w:val="6BE562C7"/>
    <w:rsid w:val="6C334EA8"/>
    <w:rsid w:val="6C472EBA"/>
    <w:rsid w:val="6C850B1C"/>
    <w:rsid w:val="6C8E6D3B"/>
    <w:rsid w:val="6CEA6C1C"/>
    <w:rsid w:val="6CF16CAD"/>
    <w:rsid w:val="6D227A41"/>
    <w:rsid w:val="6D2F7BD6"/>
    <w:rsid w:val="6D4F6864"/>
    <w:rsid w:val="6D563ED3"/>
    <w:rsid w:val="6D5A75F1"/>
    <w:rsid w:val="6DAB10DB"/>
    <w:rsid w:val="6E427DDD"/>
    <w:rsid w:val="6E9544FD"/>
    <w:rsid w:val="6E9A2388"/>
    <w:rsid w:val="6EDD2ADE"/>
    <w:rsid w:val="6F54296E"/>
    <w:rsid w:val="6F824A90"/>
    <w:rsid w:val="6F8F2B24"/>
    <w:rsid w:val="6F913714"/>
    <w:rsid w:val="6FE54382"/>
    <w:rsid w:val="6FFF58FA"/>
    <w:rsid w:val="7039043A"/>
    <w:rsid w:val="70833071"/>
    <w:rsid w:val="70C9554D"/>
    <w:rsid w:val="70DF22AA"/>
    <w:rsid w:val="71365F4D"/>
    <w:rsid w:val="714532F3"/>
    <w:rsid w:val="72016CE6"/>
    <w:rsid w:val="720C3191"/>
    <w:rsid w:val="722E1771"/>
    <w:rsid w:val="72FC0C13"/>
    <w:rsid w:val="730438B3"/>
    <w:rsid w:val="731340CE"/>
    <w:rsid w:val="731A6D3C"/>
    <w:rsid w:val="737E0D8B"/>
    <w:rsid w:val="73DA1799"/>
    <w:rsid w:val="73EA188E"/>
    <w:rsid w:val="7458249C"/>
    <w:rsid w:val="7473071B"/>
    <w:rsid w:val="749D3D47"/>
    <w:rsid w:val="74C257D4"/>
    <w:rsid w:val="74C432FA"/>
    <w:rsid w:val="74E71BD4"/>
    <w:rsid w:val="74EA174E"/>
    <w:rsid w:val="75144188"/>
    <w:rsid w:val="754C0191"/>
    <w:rsid w:val="759E3B4B"/>
    <w:rsid w:val="75A4498A"/>
    <w:rsid w:val="75AC49CB"/>
    <w:rsid w:val="75BC4D87"/>
    <w:rsid w:val="75DD751C"/>
    <w:rsid w:val="75E16BB8"/>
    <w:rsid w:val="76F529B8"/>
    <w:rsid w:val="76F61765"/>
    <w:rsid w:val="7778661E"/>
    <w:rsid w:val="780A3537"/>
    <w:rsid w:val="782B19EF"/>
    <w:rsid w:val="786B6A2B"/>
    <w:rsid w:val="789B7574"/>
    <w:rsid w:val="78AA2990"/>
    <w:rsid w:val="78AA3243"/>
    <w:rsid w:val="78F61814"/>
    <w:rsid w:val="78FC1EF4"/>
    <w:rsid w:val="790239F2"/>
    <w:rsid w:val="791E763E"/>
    <w:rsid w:val="79246EA2"/>
    <w:rsid w:val="79465ACE"/>
    <w:rsid w:val="797F2B47"/>
    <w:rsid w:val="798E3384"/>
    <w:rsid w:val="79A949D5"/>
    <w:rsid w:val="79AC1A4C"/>
    <w:rsid w:val="79BF6786"/>
    <w:rsid w:val="79CC3378"/>
    <w:rsid w:val="79DE6B1C"/>
    <w:rsid w:val="7A0A72FC"/>
    <w:rsid w:val="7A210792"/>
    <w:rsid w:val="7A4510ED"/>
    <w:rsid w:val="7A7150F8"/>
    <w:rsid w:val="7AA5772A"/>
    <w:rsid w:val="7AB30F12"/>
    <w:rsid w:val="7AE254B3"/>
    <w:rsid w:val="7B0C6D3C"/>
    <w:rsid w:val="7B1A4C2A"/>
    <w:rsid w:val="7B6F0EB1"/>
    <w:rsid w:val="7B82544D"/>
    <w:rsid w:val="7B847FB4"/>
    <w:rsid w:val="7BB732AA"/>
    <w:rsid w:val="7BBC7E90"/>
    <w:rsid w:val="7C097930"/>
    <w:rsid w:val="7C60201E"/>
    <w:rsid w:val="7CC4042D"/>
    <w:rsid w:val="7CCB7772"/>
    <w:rsid w:val="7CD75F28"/>
    <w:rsid w:val="7D2173C3"/>
    <w:rsid w:val="7D45478B"/>
    <w:rsid w:val="7D64520B"/>
    <w:rsid w:val="7D6A7A29"/>
    <w:rsid w:val="7DA06C0A"/>
    <w:rsid w:val="7DFD78E5"/>
    <w:rsid w:val="7E025ABB"/>
    <w:rsid w:val="7E11300E"/>
    <w:rsid w:val="7E523848"/>
    <w:rsid w:val="7E725D69"/>
    <w:rsid w:val="7E867872"/>
    <w:rsid w:val="7EA55A8D"/>
    <w:rsid w:val="7ECF4B58"/>
    <w:rsid w:val="7EE667FD"/>
    <w:rsid w:val="7F030EC3"/>
    <w:rsid w:val="7F7678E7"/>
    <w:rsid w:val="7FDB0F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nhideWhenUsed="0" w:uiPriority="0" w:semiHidden="0" w:name="index 8"/>
    <w:lsdException w:uiPriority="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nhideWhenUsed="0" w:uiPriority="0" w:semiHidden="0" w:name="List 2"/>
    <w:lsdException w:unhideWhenUsed="0" w:uiPriority="0" w:semiHidden="0" w:name="List 3"/>
    <w:lsdException w:uiPriority="0" w:name="List 4"/>
    <w:lsdException w:uiPriority="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83" w:firstLineChars="200"/>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33"/>
    <w:qFormat/>
    <w:uiPriority w:val="9"/>
    <w:pPr>
      <w:spacing w:line="360" w:lineRule="auto"/>
      <w:ind w:firstLine="0" w:firstLineChars="0"/>
      <w:jc w:val="left"/>
      <w:outlineLvl w:val="0"/>
    </w:pPr>
    <w:rPr>
      <w:rFonts w:ascii="Times New Roman" w:hAnsi="Times New Roman" w:eastAsia="黑体"/>
      <w:sz w:val="32"/>
      <w:szCs w:val="30"/>
    </w:rPr>
  </w:style>
  <w:style w:type="paragraph" w:styleId="4">
    <w:name w:val="heading 2"/>
    <w:basedOn w:val="1"/>
    <w:next w:val="1"/>
    <w:link w:val="46"/>
    <w:qFormat/>
    <w:uiPriority w:val="9"/>
    <w:pPr>
      <w:keepNext/>
      <w:keepLines/>
      <w:spacing w:line="360" w:lineRule="auto"/>
      <w:ind w:firstLine="0" w:firstLineChars="0"/>
      <w:jc w:val="left"/>
      <w:outlineLvl w:val="1"/>
    </w:pPr>
    <w:rPr>
      <w:rFonts w:eastAsia="黑体"/>
      <w:bCs/>
      <w:sz w:val="28"/>
      <w:szCs w:val="32"/>
    </w:rPr>
  </w:style>
  <w:style w:type="paragraph" w:styleId="5">
    <w:name w:val="heading 3"/>
    <w:basedOn w:val="1"/>
    <w:next w:val="1"/>
    <w:link w:val="41"/>
    <w:qFormat/>
    <w:uiPriority w:val="0"/>
    <w:pPr>
      <w:keepNext w:val="0"/>
      <w:keepLines w:val="0"/>
      <w:spacing w:line="360" w:lineRule="auto"/>
      <w:ind w:firstLine="0" w:firstLineChars="0"/>
      <w:jc w:val="left"/>
      <w:outlineLvl w:val="2"/>
    </w:pPr>
    <w:rPr>
      <w:rFonts w:ascii="Times New Roman" w:hAnsi="Times New Roman" w:eastAsia="黑体"/>
      <w:bCs/>
      <w:szCs w:val="32"/>
    </w:rPr>
  </w:style>
  <w:style w:type="paragraph" w:styleId="6">
    <w:name w:val="heading 4"/>
    <w:basedOn w:val="1"/>
    <w:next w:val="1"/>
    <w:link w:val="34"/>
    <w:qFormat/>
    <w:uiPriority w:val="0"/>
    <w:pPr>
      <w:keepNext w:val="0"/>
      <w:keepLines w:val="0"/>
      <w:spacing w:line="240" w:lineRule="auto"/>
      <w:ind w:firstLine="0" w:firstLineChars="0"/>
      <w:jc w:val="center"/>
      <w:outlineLvl w:val="3"/>
    </w:pPr>
    <w:rPr>
      <w:rFonts w:ascii="Times New Roman" w:hAnsi="Times New Roman" w:eastAsia="宋体"/>
      <w:bCs/>
      <w:sz w:val="21"/>
      <w:szCs w:val="28"/>
    </w:rPr>
  </w:style>
  <w:style w:type="paragraph" w:styleId="7">
    <w:name w:val="heading 5"/>
    <w:basedOn w:val="1"/>
    <w:next w:val="1"/>
    <w:link w:val="47"/>
    <w:qFormat/>
    <w:uiPriority w:val="0"/>
    <w:pPr>
      <w:keepNext/>
      <w:keepLines/>
      <w:numPr>
        <w:ilvl w:val="4"/>
        <w:numId w:val="1"/>
      </w:numPr>
      <w:tabs>
        <w:tab w:val="left" w:pos="962"/>
      </w:tabs>
      <w:adjustRightInd w:val="0"/>
      <w:spacing w:before="280" w:after="290" w:line="376" w:lineRule="atLeast"/>
      <w:textAlignment w:val="baseline"/>
      <w:outlineLvl w:val="4"/>
    </w:pPr>
    <w:rPr>
      <w:rFonts w:eastAsia="仿宋_GB2312"/>
      <w:b/>
      <w:kern w:val="0"/>
      <w:sz w:val="28"/>
      <w:szCs w:val="20"/>
    </w:rPr>
  </w:style>
  <w:style w:type="paragraph" w:styleId="8">
    <w:name w:val="heading 6"/>
    <w:basedOn w:val="1"/>
    <w:next w:val="1"/>
    <w:link w:val="48"/>
    <w:qFormat/>
    <w:uiPriority w:val="0"/>
    <w:pPr>
      <w:keepNext/>
      <w:keepLines/>
      <w:numPr>
        <w:ilvl w:val="5"/>
        <w:numId w:val="1"/>
      </w:numPr>
      <w:tabs>
        <w:tab w:val="left" w:pos="962"/>
      </w:tabs>
      <w:adjustRightInd w:val="0"/>
      <w:spacing w:before="240" w:after="64" w:line="320" w:lineRule="atLeast"/>
      <w:textAlignment w:val="baseline"/>
      <w:outlineLvl w:val="5"/>
    </w:pPr>
    <w:rPr>
      <w:rFonts w:ascii="Arial" w:hAnsi="Arial" w:eastAsia="黑体"/>
      <w:b/>
      <w:kern w:val="0"/>
      <w:sz w:val="24"/>
      <w:szCs w:val="20"/>
    </w:rPr>
  </w:style>
  <w:style w:type="paragraph" w:styleId="9">
    <w:name w:val="heading 7"/>
    <w:basedOn w:val="1"/>
    <w:next w:val="1"/>
    <w:link w:val="49"/>
    <w:qFormat/>
    <w:uiPriority w:val="0"/>
    <w:pPr>
      <w:keepNext/>
      <w:keepLines/>
      <w:numPr>
        <w:ilvl w:val="6"/>
        <w:numId w:val="1"/>
      </w:numPr>
      <w:tabs>
        <w:tab w:val="left" w:pos="962"/>
      </w:tabs>
      <w:adjustRightInd w:val="0"/>
      <w:spacing w:before="240" w:after="64" w:line="320" w:lineRule="atLeast"/>
      <w:textAlignment w:val="baseline"/>
      <w:outlineLvl w:val="6"/>
    </w:pPr>
    <w:rPr>
      <w:rFonts w:eastAsia="仿宋_GB2312"/>
      <w:b/>
      <w:kern w:val="0"/>
      <w:sz w:val="24"/>
      <w:szCs w:val="20"/>
    </w:rPr>
  </w:style>
  <w:style w:type="paragraph" w:styleId="10">
    <w:name w:val="heading 8"/>
    <w:basedOn w:val="1"/>
    <w:next w:val="1"/>
    <w:link w:val="50"/>
    <w:qFormat/>
    <w:uiPriority w:val="0"/>
    <w:pPr>
      <w:keepNext/>
      <w:keepLines/>
      <w:numPr>
        <w:ilvl w:val="7"/>
        <w:numId w:val="1"/>
      </w:numPr>
      <w:tabs>
        <w:tab w:val="left" w:pos="962"/>
      </w:tabs>
      <w:adjustRightInd w:val="0"/>
      <w:spacing w:before="240" w:after="64" w:line="320" w:lineRule="atLeast"/>
      <w:textAlignment w:val="baseline"/>
      <w:outlineLvl w:val="7"/>
    </w:pPr>
    <w:rPr>
      <w:rFonts w:ascii="Arial" w:hAnsi="Arial" w:eastAsia="黑体"/>
      <w:kern w:val="0"/>
      <w:sz w:val="24"/>
      <w:szCs w:val="20"/>
    </w:rPr>
  </w:style>
  <w:style w:type="paragraph" w:styleId="11">
    <w:name w:val="heading 9"/>
    <w:basedOn w:val="1"/>
    <w:next w:val="1"/>
    <w:link w:val="51"/>
    <w:qFormat/>
    <w:uiPriority w:val="0"/>
    <w:pPr>
      <w:keepNext/>
      <w:keepLines/>
      <w:numPr>
        <w:ilvl w:val="8"/>
        <w:numId w:val="1"/>
      </w:numPr>
      <w:tabs>
        <w:tab w:val="left" w:pos="962"/>
      </w:tabs>
      <w:adjustRightInd w:val="0"/>
      <w:spacing w:before="240" w:after="64" w:line="320" w:lineRule="atLeast"/>
      <w:textAlignment w:val="baseline"/>
      <w:outlineLvl w:val="8"/>
    </w:pPr>
    <w:rPr>
      <w:rFonts w:ascii="Arial" w:hAnsi="Arial" w:eastAsia="黑体"/>
      <w:kern w:val="0"/>
      <w:sz w:val="24"/>
      <w:szCs w:val="20"/>
    </w:rPr>
  </w:style>
  <w:style w:type="character" w:default="1" w:styleId="31">
    <w:name w:val="Default Paragraph Font"/>
    <w:unhideWhenUsed/>
    <w:qFormat/>
    <w:uiPriority w:val="1"/>
  </w:style>
  <w:style w:type="table" w:default="1" w:styleId="29">
    <w:name w:val="Normal Table"/>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12">
    <w:name w:val="Note Heading"/>
    <w:basedOn w:val="1"/>
    <w:next w:val="1"/>
    <w:qFormat/>
    <w:uiPriority w:val="0"/>
    <w:pPr>
      <w:jc w:val="center"/>
    </w:pPr>
    <w:rPr>
      <w:rFonts w:hAnsi="Times New Roman"/>
      <w:sz w:val="21"/>
      <w:szCs w:val="20"/>
    </w:rPr>
  </w:style>
  <w:style w:type="paragraph" w:styleId="13">
    <w:name w:val="Normal Indent"/>
    <w:basedOn w:val="1"/>
    <w:qFormat/>
    <w:uiPriority w:val="0"/>
    <w:pPr>
      <w:spacing w:line="360" w:lineRule="auto"/>
      <w:ind w:firstLine="420"/>
    </w:pPr>
    <w:rPr>
      <w:rFonts w:ascii="Times New Roman" w:hAnsi="Times New Roman" w:eastAsia="宋体"/>
      <w:szCs w:val="20"/>
    </w:rPr>
  </w:style>
  <w:style w:type="paragraph" w:styleId="14">
    <w:name w:val="annotation text"/>
    <w:basedOn w:val="1"/>
    <w:qFormat/>
    <w:uiPriority w:val="0"/>
    <w:pPr>
      <w:jc w:val="left"/>
    </w:pPr>
  </w:style>
  <w:style w:type="paragraph" w:styleId="15">
    <w:name w:val="Body Text"/>
    <w:basedOn w:val="1"/>
    <w:next w:val="16"/>
    <w:qFormat/>
    <w:uiPriority w:val="0"/>
    <w:rPr>
      <w:rFonts w:ascii="Times New Roman" w:hAnsi="Times New Roman" w:eastAsia="宋体"/>
      <w:kern w:val="0"/>
      <w:szCs w:val="24"/>
    </w:rPr>
  </w:style>
  <w:style w:type="paragraph" w:styleId="16">
    <w:name w:val="List Bullet 5"/>
    <w:basedOn w:val="1"/>
    <w:qFormat/>
    <w:uiPriority w:val="0"/>
    <w:pPr>
      <w:numPr>
        <w:ilvl w:val="0"/>
        <w:numId w:val="2"/>
      </w:numPr>
    </w:pPr>
  </w:style>
  <w:style w:type="paragraph" w:styleId="17">
    <w:name w:val="Body Text Indent"/>
    <w:basedOn w:val="1"/>
    <w:next w:val="18"/>
    <w:qFormat/>
    <w:uiPriority w:val="0"/>
    <w:pPr>
      <w:spacing w:after="120"/>
      <w:ind w:left="0" w:leftChars="0"/>
    </w:pPr>
    <w:rPr>
      <w:rFonts w:ascii="Times New Roman" w:hAnsi="Times New Roman"/>
      <w:szCs w:val="24"/>
    </w:rPr>
  </w:style>
  <w:style w:type="paragraph" w:styleId="18">
    <w:name w:val="header"/>
    <w:basedOn w:val="1"/>
    <w:next w:val="1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9">
    <w:name w:val="样式5"/>
    <w:basedOn w:val="15"/>
    <w:next w:val="1"/>
    <w:qFormat/>
    <w:uiPriority w:val="0"/>
    <w:pPr>
      <w:numPr>
        <w:ilvl w:val="0"/>
        <w:numId w:val="0"/>
      </w:numPr>
      <w:tabs>
        <w:tab w:val="left" w:pos="432"/>
      </w:tabs>
      <w:spacing w:before="240" w:after="240" w:line="360" w:lineRule="atLeast"/>
      <w:ind w:left="432" w:hanging="432"/>
    </w:pPr>
    <w:rPr>
      <w:rFonts w:ascii="Times New Roman" w:hAnsi="Times New Roman" w:eastAsia="黑体"/>
      <w:color w:val="000000"/>
      <w:szCs w:val="30"/>
    </w:rPr>
  </w:style>
  <w:style w:type="paragraph" w:styleId="20">
    <w:name w:val="Block Text"/>
    <w:basedOn w:val="1"/>
    <w:qFormat/>
    <w:uiPriority w:val="0"/>
    <w:pPr>
      <w:spacing w:line="360" w:lineRule="auto"/>
      <w:ind w:left="-360" w:right="-57" w:firstLine="303"/>
    </w:pPr>
    <w:rPr>
      <w:szCs w:val="20"/>
    </w:rPr>
  </w:style>
  <w:style w:type="paragraph" w:styleId="21">
    <w:name w:val="Plain Text"/>
    <w:basedOn w:val="1"/>
    <w:qFormat/>
    <w:uiPriority w:val="0"/>
    <w:rPr>
      <w:rFonts w:ascii="宋体" w:hAnsi="Courier New"/>
      <w:szCs w:val="20"/>
    </w:rPr>
  </w:style>
  <w:style w:type="paragraph" w:styleId="22">
    <w:name w:val="footer"/>
    <w:basedOn w:val="1"/>
    <w:qFormat/>
    <w:uiPriority w:val="0"/>
    <w:pPr>
      <w:tabs>
        <w:tab w:val="center" w:pos="4153"/>
        <w:tab w:val="right" w:pos="8306"/>
      </w:tabs>
      <w:snapToGrid w:val="0"/>
      <w:jc w:val="left"/>
    </w:pPr>
    <w:rPr>
      <w:sz w:val="18"/>
    </w:rPr>
  </w:style>
  <w:style w:type="paragraph" w:styleId="23">
    <w:name w:val="toc 1"/>
    <w:basedOn w:val="1"/>
    <w:next w:val="1"/>
    <w:qFormat/>
    <w:uiPriority w:val="0"/>
  </w:style>
  <w:style w:type="paragraph" w:styleId="24">
    <w:name w:val="List"/>
    <w:basedOn w:val="1"/>
    <w:qFormat/>
    <w:uiPriority w:val="0"/>
    <w:pPr>
      <w:ind w:left="200" w:hanging="200" w:hangingChars="200"/>
    </w:pPr>
  </w:style>
  <w:style w:type="paragraph" w:styleId="25">
    <w:name w:val="toc 2"/>
    <w:basedOn w:val="1"/>
    <w:next w:val="1"/>
    <w:qFormat/>
    <w:uiPriority w:val="0"/>
    <w:pPr>
      <w:ind w:left="420" w:leftChars="200"/>
    </w:pPr>
  </w:style>
  <w:style w:type="paragraph" w:styleId="2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宋体" w:hAnsi="宋体" w:cs="宋体"/>
      <w:kern w:val="0"/>
    </w:rPr>
  </w:style>
  <w:style w:type="paragraph" w:styleId="27">
    <w:name w:val="Title"/>
    <w:basedOn w:val="1"/>
    <w:next w:val="1"/>
    <w:link w:val="52"/>
    <w:qFormat/>
    <w:uiPriority w:val="0"/>
    <w:pPr>
      <w:spacing w:line="360" w:lineRule="auto"/>
      <w:jc w:val="center"/>
      <w:outlineLvl w:val="0"/>
    </w:pPr>
    <w:rPr>
      <w:rFonts w:ascii="Cambria" w:hAnsi="Cambria" w:cs="黑体"/>
      <w:b/>
      <w:bCs/>
      <w:sz w:val="32"/>
      <w:szCs w:val="32"/>
    </w:rPr>
  </w:style>
  <w:style w:type="paragraph" w:styleId="28">
    <w:name w:val="Body Text First Indent 2"/>
    <w:basedOn w:val="17"/>
    <w:next w:val="1"/>
    <w:qFormat/>
    <w:uiPriority w:val="0"/>
    <w:pPr>
      <w:spacing w:line="240" w:lineRule="auto"/>
      <w:ind w:firstLine="420"/>
    </w:pPr>
    <w:rPr>
      <w:rFonts w:ascii="Times New Roman" w:hAnsi="Times New Roman" w:eastAsia="仿宋"/>
      <w:sz w:val="28"/>
    </w:rPr>
  </w:style>
  <w:style w:type="table" w:styleId="30">
    <w:name w:val="Table Grid"/>
    <w:basedOn w:val="2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Hyperlink"/>
    <w:basedOn w:val="31"/>
    <w:qFormat/>
    <w:uiPriority w:val="0"/>
    <w:rPr>
      <w:color w:val="0000FF"/>
      <w:u w:val="single"/>
    </w:rPr>
  </w:style>
  <w:style w:type="character" w:customStyle="1" w:styleId="33">
    <w:name w:val="标题 1 Char"/>
    <w:basedOn w:val="31"/>
    <w:link w:val="3"/>
    <w:qFormat/>
    <w:uiPriority w:val="9"/>
    <w:rPr>
      <w:rFonts w:ascii="Times New Roman" w:hAnsi="Times New Roman" w:eastAsia="黑体"/>
      <w:kern w:val="2"/>
      <w:sz w:val="32"/>
      <w:szCs w:val="30"/>
    </w:rPr>
  </w:style>
  <w:style w:type="character" w:customStyle="1" w:styleId="34">
    <w:name w:val="标题 4 Char"/>
    <w:basedOn w:val="31"/>
    <w:link w:val="6"/>
    <w:qFormat/>
    <w:uiPriority w:val="9"/>
    <w:rPr>
      <w:rFonts w:ascii="Times New Roman" w:hAnsi="Times New Roman" w:eastAsia="宋体"/>
      <w:bCs/>
      <w:kern w:val="2"/>
      <w:sz w:val="21"/>
      <w:szCs w:val="28"/>
    </w:rPr>
  </w:style>
  <w:style w:type="paragraph" w:customStyle="1" w:styleId="35">
    <w:name w:val="图表文字"/>
    <w:basedOn w:val="1"/>
    <w:qFormat/>
    <w:uiPriority w:val="0"/>
    <w:pPr>
      <w:spacing w:line="240" w:lineRule="auto"/>
      <w:ind w:firstLine="0" w:firstLineChars="0"/>
      <w:jc w:val="center"/>
    </w:pPr>
    <w:rPr>
      <w:rFonts w:ascii="Times New Roman" w:hAnsi="Times New Roman" w:eastAsia="宋体" w:cs="Times New Roman"/>
      <w:bCs/>
      <w:sz w:val="21"/>
      <w:szCs w:val="20"/>
    </w:rPr>
  </w:style>
  <w:style w:type="paragraph" w:customStyle="1" w:styleId="36">
    <w:name w:val="图、表头文字"/>
    <w:next w:val="1"/>
    <w:qFormat/>
    <w:uiPriority w:val="0"/>
    <w:pPr>
      <w:spacing w:line="360" w:lineRule="auto"/>
      <w:jc w:val="center"/>
    </w:pPr>
    <w:rPr>
      <w:rFonts w:ascii="Times New Roman" w:hAnsi="Times New Roman" w:eastAsia="黑体" w:cs="Times New Roman"/>
      <w:kern w:val="2"/>
      <w:sz w:val="24"/>
      <w:szCs w:val="32"/>
      <w:lang w:val="en-US" w:eastAsia="zh-CN" w:bidi="ar-SA"/>
    </w:rPr>
  </w:style>
  <w:style w:type="paragraph" w:customStyle="1" w:styleId="37">
    <w:name w:val="表格文字"/>
    <w:basedOn w:val="13"/>
    <w:next w:val="1"/>
    <w:qFormat/>
    <w:uiPriority w:val="0"/>
    <w:pPr>
      <w:spacing w:line="240" w:lineRule="auto"/>
      <w:ind w:firstLine="0" w:firstLineChars="0"/>
      <w:jc w:val="center"/>
    </w:pPr>
    <w:rPr>
      <w:rFonts w:ascii="Times New Roman" w:hAnsi="Times New Roman" w:eastAsia="宋体" w:cs="Times New Roman"/>
      <w:sz w:val="21"/>
    </w:rPr>
  </w:style>
  <w:style w:type="paragraph" w:customStyle="1" w:styleId="38">
    <w:name w:val="Date1"/>
    <w:basedOn w:val="1"/>
    <w:next w:val="1"/>
    <w:qFormat/>
    <w:uiPriority w:val="0"/>
    <w:rPr>
      <w:sz w:val="21"/>
      <w:szCs w:val="20"/>
    </w:rPr>
  </w:style>
  <w:style w:type="paragraph" w:customStyle="1" w:styleId="39">
    <w:name w:val="图框文字"/>
    <w:basedOn w:val="1"/>
    <w:qFormat/>
    <w:uiPriority w:val="0"/>
    <w:pPr>
      <w:widowControl w:val="0"/>
      <w:jc w:val="center"/>
      <w:textAlignment w:val="center"/>
    </w:pPr>
    <w:rPr>
      <w:rFonts w:ascii="Times New Roman" w:hAnsi="Times New Roman"/>
      <w:kern w:val="2"/>
    </w:rPr>
  </w:style>
  <w:style w:type="paragraph" w:customStyle="1" w:styleId="4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41">
    <w:name w:val="标题 3 Char"/>
    <w:basedOn w:val="31"/>
    <w:link w:val="5"/>
    <w:qFormat/>
    <w:uiPriority w:val="9"/>
    <w:rPr>
      <w:rFonts w:ascii="Times New Roman" w:hAnsi="Times New Roman" w:eastAsia="黑体"/>
      <w:bCs/>
      <w:kern w:val="2"/>
      <w:sz w:val="24"/>
      <w:szCs w:val="32"/>
    </w:rPr>
  </w:style>
  <w:style w:type="paragraph" w:customStyle="1" w:styleId="42">
    <w:name w:val="表格内文字"/>
    <w:basedOn w:val="43"/>
    <w:next w:val="1"/>
    <w:qFormat/>
    <w:uiPriority w:val="0"/>
    <w:pPr>
      <w:outlineLvl w:val="3"/>
    </w:pPr>
    <w:rPr>
      <w:rFonts w:hint="default" w:ascii="Times New Roman" w:hAnsi="Times New Roman"/>
      <w:bCs/>
      <w:color w:val="auto"/>
      <w:szCs w:val="28"/>
    </w:rPr>
  </w:style>
  <w:style w:type="paragraph" w:customStyle="1" w:styleId="43">
    <w:name w:val="图表文"/>
    <w:basedOn w:val="1"/>
    <w:qFormat/>
    <w:uiPriority w:val="0"/>
    <w:pPr>
      <w:adjustRightInd w:val="0"/>
      <w:spacing w:line="240" w:lineRule="auto"/>
      <w:ind w:firstLine="0" w:firstLineChars="0"/>
      <w:jc w:val="center"/>
    </w:pPr>
    <w:rPr>
      <w:rFonts w:ascii="Times New Roman" w:hAnsi="Times New Roman" w:eastAsia="宋体" w:cs="Times New Roman"/>
      <w:sz w:val="21"/>
      <w:szCs w:val="24"/>
    </w:rPr>
  </w:style>
  <w:style w:type="paragraph" w:customStyle="1" w:styleId="44">
    <w:name w:val="表标题"/>
    <w:basedOn w:val="1"/>
    <w:next w:val="1"/>
    <w:qFormat/>
    <w:uiPriority w:val="0"/>
    <w:pPr>
      <w:keepNext/>
      <w:keepLines/>
      <w:widowControl/>
      <w:adjustRightInd w:val="0"/>
      <w:snapToGrid w:val="0"/>
      <w:ind w:firstLine="0" w:firstLineChars="0"/>
      <w:jc w:val="center"/>
    </w:pPr>
    <w:rPr>
      <w:rFonts w:ascii="Times New Roman" w:hAnsi="Times New Roman" w:eastAsia="黑体"/>
      <w:kern w:val="0"/>
      <w:szCs w:val="28"/>
    </w:rPr>
  </w:style>
  <w:style w:type="paragraph" w:customStyle="1" w:styleId="45">
    <w:name w:val="样式 正文文本缩进 + 行距: 1.5 倍行距"/>
    <w:basedOn w:val="1"/>
    <w:qFormat/>
    <w:uiPriority w:val="0"/>
    <w:pPr>
      <w:spacing w:after="120" w:line="360" w:lineRule="auto"/>
      <w:ind w:left="90" w:leftChars="32" w:firstLine="560" w:firstLineChars="200"/>
    </w:pPr>
    <w:rPr>
      <w:rFonts w:cs="宋体"/>
    </w:rPr>
  </w:style>
  <w:style w:type="character" w:customStyle="1" w:styleId="46">
    <w:name w:val="标题 2 Char1"/>
    <w:link w:val="4"/>
    <w:qFormat/>
    <w:uiPriority w:val="9"/>
    <w:rPr>
      <w:rFonts w:eastAsia="黑体"/>
      <w:bCs/>
      <w:kern w:val="2"/>
      <w:sz w:val="28"/>
      <w:szCs w:val="32"/>
    </w:rPr>
  </w:style>
  <w:style w:type="character" w:customStyle="1" w:styleId="47">
    <w:name w:val="标题 5 Char"/>
    <w:basedOn w:val="31"/>
    <w:link w:val="7"/>
    <w:qFormat/>
    <w:uiPriority w:val="0"/>
    <w:rPr>
      <w:rFonts w:eastAsia="仿宋_GB2312"/>
      <w:b/>
      <w:sz w:val="28"/>
    </w:rPr>
  </w:style>
  <w:style w:type="character" w:customStyle="1" w:styleId="48">
    <w:name w:val="标题 6 Char"/>
    <w:basedOn w:val="31"/>
    <w:link w:val="8"/>
    <w:qFormat/>
    <w:uiPriority w:val="0"/>
    <w:rPr>
      <w:rFonts w:ascii="Arial" w:hAnsi="Arial" w:eastAsia="黑体"/>
      <w:b/>
      <w:sz w:val="24"/>
    </w:rPr>
  </w:style>
  <w:style w:type="character" w:customStyle="1" w:styleId="49">
    <w:name w:val="标题 7 Char"/>
    <w:basedOn w:val="31"/>
    <w:link w:val="9"/>
    <w:qFormat/>
    <w:uiPriority w:val="0"/>
    <w:rPr>
      <w:rFonts w:eastAsia="仿宋_GB2312"/>
      <w:b/>
      <w:sz w:val="24"/>
    </w:rPr>
  </w:style>
  <w:style w:type="character" w:customStyle="1" w:styleId="50">
    <w:name w:val="标题 8 Char"/>
    <w:basedOn w:val="31"/>
    <w:link w:val="10"/>
    <w:qFormat/>
    <w:uiPriority w:val="0"/>
    <w:rPr>
      <w:rFonts w:ascii="Arial" w:hAnsi="Arial" w:eastAsia="黑体"/>
      <w:sz w:val="24"/>
    </w:rPr>
  </w:style>
  <w:style w:type="character" w:customStyle="1" w:styleId="51">
    <w:name w:val="标题 9 Char"/>
    <w:basedOn w:val="31"/>
    <w:link w:val="11"/>
    <w:qFormat/>
    <w:uiPriority w:val="0"/>
    <w:rPr>
      <w:rFonts w:ascii="Arial" w:hAnsi="Arial" w:eastAsia="黑体"/>
      <w:sz w:val="24"/>
    </w:rPr>
  </w:style>
  <w:style w:type="character" w:customStyle="1" w:styleId="52">
    <w:name w:val="标题 Char"/>
    <w:basedOn w:val="31"/>
    <w:link w:val="27"/>
    <w:qFormat/>
    <w:uiPriority w:val="0"/>
    <w:rPr>
      <w:rFonts w:ascii="Cambria" w:hAnsi="Cambria" w:cs="黑体"/>
      <w:b/>
      <w:bCs/>
      <w:kern w:val="2"/>
      <w:sz w:val="32"/>
      <w:szCs w:val="32"/>
    </w:rPr>
  </w:style>
  <w:style w:type="paragraph" w:styleId="53">
    <w:name w:val="List Paragraph"/>
    <w:basedOn w:val="1"/>
    <w:qFormat/>
    <w:uiPriority w:val="1"/>
    <w:pPr>
      <w:ind w:left="578" w:hanging="361"/>
    </w:pPr>
    <w:rPr>
      <w:rFonts w:ascii="宋体" w:hAnsi="宋体" w:eastAsia="宋体" w:cs="宋体"/>
      <w:lang w:val="zh-CN" w:eastAsia="zh-CN" w:bidi="zh-CN"/>
    </w:rPr>
  </w:style>
  <w:style w:type="paragraph" w:customStyle="1" w:styleId="54">
    <w:name w:val="正文hks"/>
    <w:basedOn w:val="1"/>
    <w:qFormat/>
    <w:uiPriority w:val="0"/>
    <w:pPr>
      <w:spacing w:line="360" w:lineRule="auto"/>
      <w:ind w:firstLine="200" w:firstLineChars="200"/>
    </w:pPr>
    <w:rPr>
      <w:sz w:val="24"/>
    </w:rPr>
  </w:style>
  <w:style w:type="paragraph" w:customStyle="1" w:styleId="55">
    <w:name w:val="正文x"/>
    <w:basedOn w:val="1"/>
    <w:qFormat/>
    <w:uiPriority w:val="99"/>
    <w:pPr>
      <w:spacing w:line="360" w:lineRule="auto"/>
      <w:ind w:firstLine="200" w:firstLineChars="200"/>
    </w:pPr>
    <w:rPr>
      <w:sz w:val="24"/>
    </w:rPr>
  </w:style>
  <w:style w:type="paragraph" w:customStyle="1" w:styleId="56">
    <w:name w:val="标题4hks"/>
    <w:basedOn w:val="6"/>
    <w:next w:val="55"/>
    <w:qFormat/>
    <w:uiPriority w:val="0"/>
    <w:pPr>
      <w:spacing w:before="0" w:after="0" w:line="360" w:lineRule="auto"/>
    </w:pPr>
    <w:rPr>
      <w:rFonts w:ascii="Times New Roman" w:hAnsi="Times New Roman" w:eastAsia="宋体"/>
      <w:sz w:val="24"/>
    </w:rPr>
  </w:style>
  <w:style w:type="paragraph" w:customStyle="1" w:styleId="57">
    <w:name w:val="表头hks"/>
    <w:next w:val="1"/>
    <w:qFormat/>
    <w:uiPriority w:val="0"/>
    <w:pPr>
      <w:spacing w:line="360" w:lineRule="auto"/>
      <w:jc w:val="center"/>
    </w:pPr>
    <w:rPr>
      <w:rFonts w:ascii="黑体" w:hAnsi="黑体" w:eastAsia="黑体" w:cs="Times New Roman"/>
      <w:kern w:val="2"/>
      <w:sz w:val="24"/>
      <w:szCs w:val="22"/>
      <w:lang w:val="en-US" w:eastAsia="zh-CN" w:bidi="ar-SA"/>
    </w:rPr>
  </w:style>
  <w:style w:type="paragraph" w:customStyle="1" w:styleId="58">
    <w:name w:val="表格hks"/>
    <w:next w:val="1"/>
    <w:qFormat/>
    <w:uiPriority w:val="0"/>
    <w:pPr>
      <w:spacing w:line="240" w:lineRule="exact"/>
      <w:jc w:val="center"/>
    </w:pPr>
    <w:rPr>
      <w:rFonts w:ascii="Times New Roman" w:hAnsi="Times New Roman" w:eastAsia="宋体" w:cs="Times New Roman"/>
      <w:kern w:val="2"/>
      <w:sz w:val="21"/>
      <w:szCs w:val="22"/>
      <w:lang w:val="en-US" w:eastAsia="zh-CN" w:bidi="ar-SA"/>
    </w:rPr>
  </w:style>
  <w:style w:type="paragraph" w:customStyle="1" w:styleId="59">
    <w:name w:val="B-缩进"/>
    <w:basedOn w:val="1"/>
    <w:qFormat/>
    <w:uiPriority w:val="0"/>
    <w:pPr>
      <w:spacing w:after="60"/>
      <w:ind w:firstLine="200" w:firstLineChars="200"/>
    </w:pPr>
    <w:rPr>
      <w:rFonts w:ascii="Times New Roman" w:hAnsi="Times New Roman"/>
      <w:kern w:val="2"/>
      <w:szCs w:val="24"/>
    </w:rPr>
  </w:style>
  <w:style w:type="paragraph" w:customStyle="1" w:styleId="60">
    <w:name w:val="5.2"/>
    <w:basedOn w:val="1"/>
    <w:qFormat/>
    <w:uiPriority w:val="0"/>
    <w:pPr>
      <w:spacing w:beforeLines="50" w:line="360" w:lineRule="auto"/>
      <w:jc w:val="center"/>
    </w:pPr>
    <w:rPr>
      <w:rFonts w:ascii="Times New Roman" w:hAnsi="Times New Roman"/>
      <w:kern w:val="2"/>
      <w:sz w:val="24"/>
    </w:rPr>
  </w:style>
  <w:style w:type="paragraph" w:customStyle="1" w:styleId="61">
    <w:name w:val="Table Paragraph"/>
    <w:basedOn w:val="1"/>
    <w:qFormat/>
    <w:uiPriority w:val="0"/>
    <w:pPr>
      <w:jc w:val="center"/>
    </w:pPr>
    <w:rPr>
      <w:rFonts w:cs="宋体"/>
      <w:sz w:val="22"/>
      <w:szCs w:val="22"/>
      <w:lang w:eastAsia="en-US"/>
    </w:rPr>
  </w:style>
  <w:style w:type="paragraph" w:customStyle="1" w:styleId="62">
    <w:name w:val="表格居中"/>
    <w:basedOn w:val="1"/>
    <w:qFormat/>
    <w:uiPriority w:val="0"/>
    <w:pPr>
      <w:spacing w:line="360" w:lineRule="auto"/>
      <w:jc w:val="center"/>
    </w:pPr>
    <w:rPr>
      <w:rFonts w:ascii="Times New Roman" w:hAnsi="Times New Roman"/>
      <w:kern w:val="2"/>
      <w:szCs w:val="20"/>
    </w:rPr>
  </w:style>
  <w:style w:type="paragraph" w:customStyle="1" w:styleId="63">
    <w:name w:val="正文五号"/>
    <w:basedOn w:val="1"/>
    <w:qFormat/>
    <w:uiPriority w:val="0"/>
    <w:pPr>
      <w:ind w:firstLine="200" w:firstLineChars="200"/>
    </w:pPr>
  </w:style>
  <w:style w:type="paragraph" w:customStyle="1" w:styleId="64">
    <w:name w:val="表格"/>
    <w:basedOn w:val="1"/>
    <w:qFormat/>
    <w:uiPriority w:val="0"/>
    <w:pPr>
      <w:spacing w:line="560" w:lineRule="exact"/>
      <w:jc w:val="center"/>
    </w:pPr>
    <w:rPr>
      <w:rFonts w:ascii="宋体" w:hAnsi="宋体" w:eastAsia="宋体" w:cs="Times New Roman"/>
      <w:szCs w:val="24"/>
    </w:rPr>
  </w:style>
  <w:style w:type="paragraph" w:customStyle="1" w:styleId="65">
    <w:name w:val="表"/>
    <w:basedOn w:val="1"/>
    <w:next w:val="66"/>
    <w:qFormat/>
    <w:uiPriority w:val="0"/>
    <w:pPr>
      <w:spacing w:line="240" w:lineRule="auto"/>
      <w:ind w:firstLine="0" w:firstLineChars="0"/>
      <w:jc w:val="left"/>
    </w:pPr>
    <w:rPr>
      <w:rFonts w:ascii="Times New Roman" w:hAnsi="Times New Roman"/>
    </w:rPr>
  </w:style>
  <w:style w:type="paragraph" w:customStyle="1" w:styleId="66">
    <w:name w:val="表后格式"/>
    <w:basedOn w:val="1"/>
    <w:next w:val="1"/>
    <w:qFormat/>
    <w:uiPriority w:val="0"/>
    <w:pPr>
      <w:spacing w:before="156" w:beforeLines="50" w:line="240" w:lineRule="auto"/>
      <w:ind w:firstLine="0" w:firstLineChars="0"/>
    </w:pPr>
    <w:rPr>
      <w:sz w:val="21"/>
    </w:rPr>
  </w:style>
  <w:style w:type="paragraph" w:customStyle="1" w:styleId="67">
    <w:name w:val="表格填充1"/>
    <w:basedOn w:val="1"/>
    <w:qFormat/>
    <w:uiPriority w:val="0"/>
    <w:pPr>
      <w:adjustRightInd w:val="0"/>
      <w:snapToGrid w:val="0"/>
      <w:spacing w:line="400" w:lineRule="exact"/>
      <w:jc w:val="center"/>
    </w:pPr>
    <w:rPr>
      <w:rFonts w:ascii="Times New Roman"/>
      <w:snapToGrid w:val="0"/>
      <w:sz w:val="21"/>
      <w:szCs w:val="18"/>
    </w:rPr>
  </w:style>
  <w:style w:type="paragraph" w:customStyle="1" w:styleId="68">
    <w:name w:val="图件表格格式"/>
    <w:basedOn w:val="12"/>
    <w:qFormat/>
    <w:uiPriority w:val="0"/>
    <w:pPr>
      <w:spacing w:line="240" w:lineRule="auto"/>
    </w:pPr>
    <w:rPr>
      <w:rFonts w:eastAsia="宋体"/>
      <w:sz w:val="21"/>
    </w:rPr>
  </w:style>
  <w:style w:type="paragraph" w:customStyle="1" w:styleId="69">
    <w:name w:val="表题"/>
    <w:basedOn w:val="1"/>
    <w:qFormat/>
    <w:uiPriority w:val="0"/>
    <w:pPr>
      <w:autoSpaceDE w:val="0"/>
      <w:autoSpaceDN w:val="0"/>
      <w:adjustRightInd w:val="0"/>
      <w:spacing w:line="480" w:lineRule="atLeast"/>
      <w:jc w:val="center"/>
      <w:textAlignment w:val="baseline"/>
    </w:pPr>
    <w:rPr>
      <w:rFonts w:ascii="黑体" w:hAnsi="Times New Roman" w:eastAsia="黑体"/>
      <w:kern w:val="16"/>
      <w:szCs w:val="20"/>
    </w:rPr>
  </w:style>
  <w:style w:type="paragraph" w:customStyle="1" w:styleId="70">
    <w:name w:val="正文1"/>
    <w:basedOn w:val="1"/>
    <w:next w:val="1"/>
    <w:qFormat/>
    <w:uiPriority w:val="0"/>
    <w:pPr>
      <w:snapToGrid w:val="0"/>
      <w:spacing w:before="76" w:beforeLines="20" w:after="76" w:afterLines="20" w:line="312" w:lineRule="auto"/>
      <w:ind w:firstLine="475" w:firstLineChars="198"/>
    </w:pPr>
    <w:rPr>
      <w:rFonts w:ascii="宋体" w:hAnsi="宋体"/>
      <w:color w:val="00000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wmf"/><Relationship Id="rId15" Type="http://schemas.openxmlformats.org/officeDocument/2006/relationships/image" Target="media/image2.wmf"/><Relationship Id="rId14" Type="http://schemas.openxmlformats.org/officeDocument/2006/relationships/oleObject" Target="embeddings/oleObject1.bin"/><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65</Pages>
  <Words>42400</Words>
  <Characters>48754</Characters>
  <Lines>126</Lines>
  <Paragraphs>35</Paragraphs>
  <TotalTime>0</TotalTime>
  <ScaleCrop>false</ScaleCrop>
  <LinksUpToDate>false</LinksUpToDate>
  <CharactersWithSpaces>49381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2016-07-11T07:36:00Z</dcterms:created>
  <dc:creator>微软用户</dc:creator>
  <cp:lastModifiedBy>更好的自己</cp:lastModifiedBy>
  <cp:lastPrinted>2022-06-25T07:59:00Z</cp:lastPrinted>
  <dcterms:modified xsi:type="dcterms:W3CDTF">2024-06-18T09:50:27Z</dcterms:modified>
  <dc:title>青 岛 天 邦 线 业 有 限 公 司</dc:title>
  <cp:revision>1608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7F27ACE86E1C41999C35D4AF65948F25</vt:lpwstr>
  </property>
</Properties>
</file>