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eastAsia="zh-CN"/>
        </w:rPr>
      </w:pPr>
    </w:p>
    <w:p>
      <w:pPr>
        <w:bidi w:val="0"/>
        <w:jc w:val="center"/>
        <w:rPr>
          <w:rFonts w:hint="eastAsia"/>
          <w:sz w:val="52"/>
          <w:szCs w:val="52"/>
          <w:lang w:eastAsia="zh-CN"/>
        </w:rPr>
      </w:pPr>
      <w:r>
        <w:rPr>
          <w:rFonts w:hint="eastAsia"/>
          <w:b/>
          <w:bCs/>
          <w:sz w:val="52"/>
          <w:szCs w:val="52"/>
          <w:lang w:eastAsia="zh-CN"/>
        </w:rPr>
        <w:t>山东省润泰新材料有限公司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132715</wp:posOffset>
                </wp:positionV>
                <wp:extent cx="5400675" cy="99695"/>
                <wp:effectExtent l="19050" t="8890" r="19050" b="24765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0675" cy="99695"/>
                          <a:chOff x="0" y="0"/>
                          <a:chExt cx="8505" cy="157"/>
                        </a:xfrm>
                      </wpg:grpSpPr>
                      <wps:wsp>
                        <wps:cNvPr id="2" name="直线 3"/>
                        <wps:cNvCnPr/>
                        <wps:spPr bwMode="auto">
                          <a:xfrm>
                            <a:off x="0" y="157"/>
                            <a:ext cx="8505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" name="直线 4"/>
                        <wps:cNvCnPr/>
                        <wps:spPr bwMode="auto">
                          <a:xfrm>
                            <a:off x="0" y="1"/>
                            <a:ext cx="85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4" name="直线 5"/>
                        <wps:cNvCnPr/>
                        <wps:spPr bwMode="auto">
                          <a:xfrm>
                            <a:off x="0" y="0"/>
                            <a:ext cx="85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" name="直线 6"/>
                        <wps:cNvCnPr/>
                        <wps:spPr bwMode="auto">
                          <a:xfrm>
                            <a:off x="0" y="152"/>
                            <a:ext cx="8505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10.45pt;height:7.85pt;width:425.25pt;z-index:251660288;mso-width-relative:page;mso-height-relative:page;" coordsize="8505,157" o:gfxdata="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ImYFijXAAAABgEAAA8AAAAAAAAAAQAgAAAAIgAAAGRycy9kb3ducmV2Lnht&#10;bFBLAQIUABQAAAAIAIdO4kB6G5DebAIAAEQJAAAOAAAAAAAAAAEAIAAAACYBAABkcnMvZTJvRG9j&#10;LnhtbFBLBQYAAAAABgAGAFkBAAAEBgAAAAA=&#10;">
                <o:lock v:ext="edit" aspectratio="f"/>
                <v:line id="直线 3" o:spid="_x0000_s1026" o:spt="20" style="position:absolute;left:0;top:157;height:0;width:8505;" filled="f" stroked="t" coordsize="21600,21600" o:gfxdata="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92/4Z7sAAADa&#10;AAAADwAAAAAAAAABACAAAAAiAAAAZHJzL2Rvd25yZXYueG1sUEsBAhQAFAAAAAgAh07iQDMvBZ47&#10;AAAAOQAAABAAAAAAAAAAAQAgAAAACgEAAGRycy9zaGFwZXhtbC54bWxQSwUGAAAAAAYABgBbAQAA&#10;tAMAAAAA&#10;">
                  <v:fill on="f" focussize="0,0"/>
                  <v:stroke weight="3pt" color="#000000" joinstyle="round"/>
                  <v:imagedata o:title=""/>
                  <o:lock v:ext="edit" aspectratio="f"/>
                </v:line>
                <v:line id="直线 4" o:spid="_x0000_s1026" o:spt="20" style="position:absolute;left:0;top:1;height:0;width:8505;" filled="f" stroked="t" coordsize="21600,21600" o:gfxdata="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SetGi8AAAA&#10;2g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5" o:spid="_x0000_s1026" o:spt="20" style="position:absolute;left:0;top:0;height:0;width:8505;" filled="f" stroked="t" coordsize="21600,21600" o:gfxdata="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t3LBy8AAAA&#10;2g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6" o:spid="_x0000_s1026" o:spt="20" style="position:absolute;left:0;top:152;height:0;width:8505;" filled="f" stroked="t" coordsize="21600,21600" o:gfxdata="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IZgE7sAAADa&#10;AAAADwAAAAAAAAABACAAAAAiAAAAZHJzL2Rvd25yZXYueG1sUEsBAhQAFAAAAAgAh07iQDMvBZ47&#10;AAAAOQAAABAAAAAAAAAAAQAgAAAACgEAAGRycy9zaGFwZXhtbC54bWxQSwUGAAAAAAYABgBbAQAA&#10;tAMAAAAA&#10;">
                  <v:fill on="f" focussize="0,0"/>
                  <v:stroke weight="3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bidi w:val="0"/>
        <w:jc w:val="center"/>
        <w:rPr>
          <w:rFonts w:hint="eastAsia"/>
          <w:b/>
          <w:bCs/>
          <w:sz w:val="52"/>
          <w:szCs w:val="52"/>
          <w:lang w:eastAsia="zh-CN"/>
        </w:rPr>
      </w:pPr>
      <w:bookmarkStart w:id="0" w:name="_Toc27973"/>
      <w:r>
        <w:rPr>
          <w:rFonts w:hint="eastAsia"/>
          <w:b/>
          <w:bCs/>
          <w:sz w:val="52"/>
          <w:szCs w:val="52"/>
          <w:lang w:eastAsia="zh-CN"/>
        </w:rPr>
        <w:t>环境应急资源调查报告</w:t>
      </w:r>
      <w:bookmarkEnd w:id="0"/>
    </w:p>
    <w:p>
      <w:pPr>
        <w:jc w:val="center"/>
        <w:rPr>
          <w:rFonts w:hint="eastAsia" w:ascii="仿宋" w:hAnsi="仿宋" w:eastAsia="仿宋" w:cs="仿宋"/>
          <w:sz w:val="44"/>
          <w:szCs w:val="44"/>
          <w:highlight w:val="yellow"/>
        </w:rPr>
      </w:pPr>
    </w:p>
    <w:p>
      <w:pPr>
        <w:jc w:val="center"/>
        <w:rPr>
          <w:rFonts w:hint="eastAsia" w:ascii="仿宋" w:hAnsi="仿宋" w:eastAsia="仿宋" w:cs="仿宋"/>
          <w:sz w:val="44"/>
          <w:szCs w:val="44"/>
          <w:highlight w:val="yellow"/>
        </w:rPr>
      </w:pPr>
    </w:p>
    <w:p>
      <w:pPr>
        <w:jc w:val="center"/>
        <w:rPr>
          <w:rFonts w:hint="eastAsia" w:ascii="仿宋" w:hAnsi="仿宋" w:eastAsia="仿宋" w:cs="仿宋"/>
          <w:sz w:val="44"/>
          <w:szCs w:val="44"/>
          <w:highlight w:val="yellow"/>
        </w:rPr>
      </w:pPr>
    </w:p>
    <w:p>
      <w:pPr>
        <w:jc w:val="center"/>
        <w:rPr>
          <w:rFonts w:hint="eastAsia" w:ascii="仿宋" w:hAnsi="仿宋" w:eastAsia="仿宋" w:cs="仿宋"/>
          <w:sz w:val="44"/>
          <w:szCs w:val="44"/>
          <w:highlight w:val="yellow"/>
        </w:rPr>
      </w:pPr>
    </w:p>
    <w:p>
      <w:pPr>
        <w:jc w:val="center"/>
        <w:rPr>
          <w:rFonts w:hint="eastAsia" w:ascii="仿宋" w:hAnsi="仿宋" w:eastAsia="仿宋" w:cs="仿宋"/>
          <w:sz w:val="44"/>
          <w:szCs w:val="44"/>
          <w:highlight w:val="yellow"/>
        </w:rPr>
      </w:pPr>
    </w:p>
    <w:p>
      <w:pPr>
        <w:jc w:val="center"/>
        <w:rPr>
          <w:rFonts w:hint="eastAsia" w:ascii="仿宋" w:hAnsi="仿宋" w:eastAsia="仿宋" w:cs="仿宋"/>
          <w:sz w:val="44"/>
          <w:szCs w:val="44"/>
          <w:highlight w:val="yellow"/>
        </w:rPr>
      </w:pPr>
      <w:bookmarkStart w:id="16" w:name="_GoBack"/>
      <w:bookmarkEnd w:id="16"/>
    </w:p>
    <w:p>
      <w:pPr>
        <w:jc w:val="center"/>
        <w:rPr>
          <w:rFonts w:hint="eastAsia" w:ascii="仿宋" w:hAnsi="仿宋" w:eastAsia="仿宋" w:cs="仿宋"/>
          <w:sz w:val="44"/>
          <w:szCs w:val="44"/>
          <w:highlight w:val="yellow"/>
        </w:rPr>
      </w:pPr>
    </w:p>
    <w:p>
      <w:pPr>
        <w:jc w:val="center"/>
        <w:rPr>
          <w:rFonts w:hint="eastAsia" w:ascii="仿宋" w:hAnsi="仿宋" w:eastAsia="仿宋" w:cs="仿宋"/>
          <w:sz w:val="44"/>
          <w:szCs w:val="44"/>
          <w:highlight w:val="yellow"/>
        </w:rPr>
      </w:pPr>
    </w:p>
    <w:p>
      <w:pPr>
        <w:jc w:val="center"/>
        <w:rPr>
          <w:rFonts w:hint="eastAsia" w:ascii="仿宋" w:hAnsi="仿宋" w:eastAsia="仿宋" w:cs="仿宋"/>
          <w:sz w:val="44"/>
          <w:szCs w:val="44"/>
          <w:highlight w:val="yellow"/>
        </w:rPr>
      </w:pPr>
    </w:p>
    <w:p>
      <w:pPr>
        <w:jc w:val="center"/>
        <w:rPr>
          <w:rFonts w:hint="eastAsia" w:ascii="仿宋" w:hAnsi="仿宋" w:eastAsia="仿宋" w:cs="仿宋"/>
          <w:sz w:val="44"/>
          <w:szCs w:val="44"/>
          <w:highlight w:val="yellow"/>
        </w:rPr>
      </w:pPr>
    </w:p>
    <w:p>
      <w:pPr>
        <w:jc w:val="center"/>
        <w:rPr>
          <w:rFonts w:hint="eastAsia" w:ascii="仿宋" w:hAnsi="仿宋" w:eastAsia="仿宋" w:cs="仿宋"/>
          <w:sz w:val="44"/>
          <w:szCs w:val="44"/>
          <w:highlight w:val="yellow"/>
        </w:rPr>
      </w:pPr>
    </w:p>
    <w:p>
      <w:pPr>
        <w:pStyle w:val="2"/>
        <w:rPr>
          <w:rFonts w:hint="eastAsia" w:ascii="仿宋" w:hAnsi="仿宋" w:eastAsia="仿宋" w:cs="仿宋"/>
          <w:sz w:val="44"/>
          <w:szCs w:val="44"/>
          <w:highlight w:val="yellow"/>
        </w:rPr>
      </w:pPr>
    </w:p>
    <w:p>
      <w:pPr>
        <w:pStyle w:val="26"/>
        <w:rPr>
          <w:rFonts w:hint="eastAsia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编制日期：</w:t>
      </w:r>
      <w:r>
        <w:rPr>
          <w:rFonts w:hint="eastAsia" w:eastAsia="仿宋" w:cs="Times New Roman"/>
          <w:sz w:val="32"/>
          <w:szCs w:val="32"/>
          <w:lang w:eastAsia="zh-CN"/>
        </w:rPr>
        <w:t>2022年</w:t>
      </w:r>
      <w:r>
        <w:rPr>
          <w:rFonts w:hint="eastAsia" w:eastAsia="仿宋" w:cs="Times New Roman"/>
          <w:sz w:val="32"/>
          <w:szCs w:val="32"/>
          <w:lang w:val="en-US" w:eastAsia="zh-CN"/>
        </w:rPr>
        <w:t>8</w:t>
      </w:r>
      <w:r>
        <w:rPr>
          <w:rFonts w:hint="eastAsia" w:eastAsia="仿宋" w:cs="Times New Roman"/>
          <w:sz w:val="32"/>
          <w:szCs w:val="32"/>
          <w:lang w:eastAsia="zh-CN"/>
        </w:rPr>
        <w:t>月</w:t>
      </w:r>
    </w:p>
    <w:p>
      <w:pPr>
        <w:widowControl/>
        <w:jc w:val="left"/>
        <w:rPr>
          <w:rFonts w:hint="eastAsia" w:ascii="仿宋" w:hAnsi="仿宋" w:eastAsia="仿宋" w:cs="仿宋"/>
        </w:rPr>
        <w:sectPr>
          <w:pgSz w:w="11906" w:h="16838"/>
          <w:pgMar w:top="1440" w:right="1800" w:bottom="1440" w:left="1800" w:header="851" w:footer="992" w:gutter="0"/>
          <w:pgNumType w:start="1"/>
          <w:cols w:space="720" w:num="1"/>
          <w:docGrid w:type="lines" w:linePitch="312" w:charSpace="0"/>
        </w:sectPr>
      </w:pPr>
    </w:p>
    <w:sdt>
      <w:sdtPr>
        <w:rPr>
          <w:rFonts w:ascii="宋体" w:hAnsi="宋体" w:eastAsia="宋体" w:cs="Times New Roman"/>
          <w:kern w:val="2"/>
          <w:sz w:val="21"/>
          <w:szCs w:val="24"/>
          <w:lang w:val="en-US" w:eastAsia="zh-CN" w:bidi="ar-SA"/>
        </w:rPr>
        <w:id w:val="147461291"/>
        <w15:color w:val="DBDBDB"/>
        <w:docPartObj>
          <w:docPartGallery w:val="Table of Contents"/>
          <w:docPartUnique/>
        </w:docPartObj>
      </w:sdtPr>
      <w:sdtEndPr>
        <w:rPr>
          <w:rFonts w:hint="eastAsia" w:ascii="Times New Roman" w:hAnsi="Times New Roman" w:eastAsia="黑体" w:cs="Times New Roman"/>
          <w:b/>
          <w:bCs/>
          <w:kern w:val="2"/>
          <w:sz w:val="24"/>
          <w:szCs w:val="2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Style w:val="23"/>
            </w:rPr>
          </w:pPr>
          <w:r>
            <w:rPr>
              <w:rStyle w:val="23"/>
            </w:rPr>
            <w:t>目</w:t>
          </w:r>
          <w:r>
            <w:rPr>
              <w:rStyle w:val="23"/>
              <w:rFonts w:hint="eastAsia"/>
              <w:lang w:val="en-US" w:eastAsia="zh-CN"/>
            </w:rPr>
            <w:t xml:space="preserve">  </w:t>
          </w:r>
          <w:r>
            <w:rPr>
              <w:rStyle w:val="23"/>
            </w:rPr>
            <w:t>录</w:t>
          </w:r>
        </w:p>
        <w:p>
          <w:pPr>
            <w:pStyle w:val="15"/>
            <w:tabs>
              <w:tab w:val="right" w:leader="dot" w:pos="8306"/>
            </w:tabs>
            <w:spacing w:line="360" w:lineRule="auto"/>
            <w:rPr>
              <w:sz w:val="24"/>
              <w:szCs w:val="24"/>
            </w:rPr>
          </w:pPr>
          <w:r>
            <w:rPr>
              <w:rFonts w:hint="eastAsia"/>
              <w:sz w:val="24"/>
              <w:szCs w:val="24"/>
            </w:rPr>
            <w:fldChar w:fldCharType="begin"/>
          </w:r>
          <w:r>
            <w:rPr>
              <w:rFonts w:hint="eastAsia"/>
              <w:sz w:val="24"/>
              <w:szCs w:val="24"/>
            </w:rPr>
            <w:instrText xml:space="preserve">TOC \o "1-2" \h \u </w:instrText>
          </w:r>
          <w:r>
            <w:rPr>
              <w:rFonts w:hint="eastAsia"/>
              <w:sz w:val="24"/>
              <w:szCs w:val="24"/>
            </w:rPr>
            <w:fldChar w:fldCharType="separate"/>
          </w:r>
          <w:r>
            <w:rPr>
              <w:rFonts w:hint="eastAsia"/>
              <w:sz w:val="24"/>
              <w:szCs w:val="24"/>
            </w:rPr>
            <w:fldChar w:fldCharType="begin"/>
          </w:r>
          <w:r>
            <w:rPr>
              <w:rFonts w:hint="eastAsia"/>
              <w:sz w:val="24"/>
              <w:szCs w:val="24"/>
            </w:rPr>
            <w:instrText xml:space="preserve"> HYPERLINK \l _Toc28811 </w:instrText>
          </w:r>
          <w:r>
            <w:rPr>
              <w:rFonts w:hint="eastAsia"/>
              <w:sz w:val="24"/>
              <w:szCs w:val="24"/>
            </w:rPr>
            <w:fldChar w:fldCharType="separate"/>
          </w:r>
          <w:r>
            <w:rPr>
              <w:rFonts w:hint="eastAsia"/>
              <w:sz w:val="24"/>
              <w:szCs w:val="24"/>
            </w:rPr>
            <w:t>附件1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_Toc28811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1</w:t>
          </w:r>
          <w:r>
            <w:rPr>
              <w:sz w:val="24"/>
              <w:szCs w:val="24"/>
            </w:rPr>
            <w:fldChar w:fldCharType="end"/>
          </w:r>
          <w:r>
            <w:rPr>
              <w:rFonts w:hint="eastAsia"/>
              <w:sz w:val="24"/>
              <w:szCs w:val="24"/>
            </w:rPr>
            <w:fldChar w:fldCharType="end"/>
          </w:r>
        </w:p>
        <w:p>
          <w:pPr>
            <w:pStyle w:val="15"/>
            <w:tabs>
              <w:tab w:val="right" w:leader="dot" w:pos="8306"/>
            </w:tabs>
            <w:spacing w:line="360" w:lineRule="auto"/>
            <w:rPr>
              <w:sz w:val="24"/>
              <w:szCs w:val="24"/>
            </w:rPr>
          </w:pPr>
          <w:r>
            <w:rPr>
              <w:rFonts w:hint="eastAsia"/>
              <w:sz w:val="24"/>
              <w:szCs w:val="24"/>
            </w:rPr>
            <w:fldChar w:fldCharType="begin"/>
          </w:r>
          <w:r>
            <w:rPr>
              <w:rFonts w:hint="eastAsia"/>
              <w:sz w:val="24"/>
              <w:szCs w:val="24"/>
            </w:rPr>
            <w:instrText xml:space="preserve"> HYPERLINK \l _Toc16315 </w:instrText>
          </w:r>
          <w:r>
            <w:rPr>
              <w:rFonts w:hint="eastAsia"/>
              <w:sz w:val="24"/>
              <w:szCs w:val="24"/>
            </w:rPr>
            <w:fldChar w:fldCharType="separate"/>
          </w:r>
          <w:r>
            <w:rPr>
              <w:rFonts w:hint="eastAsia"/>
              <w:sz w:val="24"/>
              <w:szCs w:val="24"/>
            </w:rPr>
            <w:t>附件</w:t>
          </w:r>
          <w:r>
            <w:rPr>
              <w:rFonts w:hint="eastAsia"/>
              <w:sz w:val="24"/>
              <w:szCs w:val="24"/>
              <w:lang w:val="en-US" w:eastAsia="zh-CN"/>
            </w:rPr>
            <w:t>2 紧急撤离路线及应急物资分布图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_Toc16315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2</w:t>
          </w:r>
          <w:r>
            <w:rPr>
              <w:sz w:val="24"/>
              <w:szCs w:val="24"/>
            </w:rPr>
            <w:fldChar w:fldCharType="end"/>
          </w:r>
          <w:r>
            <w:rPr>
              <w:rFonts w:hint="eastAsia"/>
              <w:sz w:val="24"/>
              <w:szCs w:val="24"/>
            </w:rPr>
            <w:fldChar w:fldCharType="end"/>
          </w:r>
        </w:p>
        <w:p>
          <w:pPr>
            <w:pStyle w:val="15"/>
            <w:tabs>
              <w:tab w:val="right" w:leader="dot" w:pos="8306"/>
            </w:tabs>
            <w:spacing w:line="360" w:lineRule="auto"/>
            <w:rPr>
              <w:sz w:val="24"/>
              <w:szCs w:val="24"/>
            </w:rPr>
          </w:pPr>
          <w:r>
            <w:rPr>
              <w:rFonts w:hint="eastAsia"/>
              <w:sz w:val="24"/>
              <w:szCs w:val="24"/>
            </w:rPr>
            <w:fldChar w:fldCharType="begin"/>
          </w:r>
          <w:r>
            <w:rPr>
              <w:rFonts w:hint="eastAsia"/>
              <w:sz w:val="24"/>
              <w:szCs w:val="24"/>
            </w:rPr>
            <w:instrText xml:space="preserve"> HYPERLINK \l _Toc4997 </w:instrText>
          </w:r>
          <w:r>
            <w:rPr>
              <w:rFonts w:hint="eastAsia"/>
              <w:sz w:val="24"/>
              <w:szCs w:val="24"/>
            </w:rPr>
            <w:fldChar w:fldCharType="separate"/>
          </w:r>
          <w:r>
            <w:rPr>
              <w:rFonts w:hint="eastAsia"/>
              <w:sz w:val="24"/>
              <w:szCs w:val="24"/>
              <w:lang w:val="en-US" w:eastAsia="zh-CN"/>
            </w:rPr>
            <w:t xml:space="preserve">附件3 </w:t>
          </w:r>
          <w:r>
            <w:rPr>
              <w:rFonts w:hint="eastAsia"/>
              <w:sz w:val="24"/>
              <w:szCs w:val="24"/>
            </w:rPr>
            <w:t>应急抢险物资管理维护更新制度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_Toc4997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3</w:t>
          </w:r>
          <w:r>
            <w:rPr>
              <w:sz w:val="24"/>
              <w:szCs w:val="24"/>
            </w:rPr>
            <w:fldChar w:fldCharType="end"/>
          </w:r>
          <w:r>
            <w:rPr>
              <w:rFonts w:hint="eastAsia"/>
              <w:sz w:val="24"/>
              <w:szCs w:val="24"/>
            </w:rPr>
            <w:fldChar w:fldCharType="end"/>
          </w:r>
        </w:p>
        <w:p>
          <w:pPr>
            <w:pStyle w:val="15"/>
            <w:tabs>
              <w:tab w:val="right" w:leader="dot" w:pos="8306"/>
            </w:tabs>
            <w:spacing w:line="360" w:lineRule="auto"/>
            <w:ind w:firstLine="480" w:firstLineChars="200"/>
            <w:rPr>
              <w:sz w:val="24"/>
              <w:szCs w:val="24"/>
            </w:rPr>
          </w:pPr>
          <w:r>
            <w:rPr>
              <w:rFonts w:hint="eastAsia"/>
              <w:sz w:val="24"/>
              <w:szCs w:val="24"/>
            </w:rPr>
            <w:fldChar w:fldCharType="begin"/>
          </w:r>
          <w:r>
            <w:rPr>
              <w:rFonts w:hint="eastAsia"/>
              <w:sz w:val="24"/>
              <w:szCs w:val="24"/>
            </w:rPr>
            <w:instrText xml:space="preserve"> HYPERLINK \l _Toc17659 </w:instrText>
          </w:r>
          <w:r>
            <w:rPr>
              <w:rFonts w:hint="eastAsia"/>
              <w:sz w:val="24"/>
              <w:szCs w:val="24"/>
            </w:rPr>
            <w:fldChar w:fldCharType="separate"/>
          </w:r>
          <w:r>
            <w:rPr>
              <w:rFonts w:hint="eastAsia"/>
              <w:sz w:val="24"/>
              <w:szCs w:val="24"/>
              <w:lang w:eastAsia="zh-CN"/>
            </w:rPr>
            <w:t>一、</w:t>
          </w:r>
          <w:r>
            <w:rPr>
              <w:rFonts w:hint="eastAsia"/>
              <w:sz w:val="24"/>
              <w:szCs w:val="24"/>
            </w:rPr>
            <w:t>总则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_Toc17659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3</w:t>
          </w:r>
          <w:r>
            <w:rPr>
              <w:sz w:val="24"/>
              <w:szCs w:val="24"/>
            </w:rPr>
            <w:fldChar w:fldCharType="end"/>
          </w:r>
          <w:r>
            <w:rPr>
              <w:rFonts w:hint="eastAsia"/>
              <w:sz w:val="24"/>
              <w:szCs w:val="24"/>
            </w:rPr>
            <w:fldChar w:fldCharType="end"/>
          </w:r>
        </w:p>
        <w:p>
          <w:pPr>
            <w:pStyle w:val="15"/>
            <w:tabs>
              <w:tab w:val="right" w:leader="dot" w:pos="8306"/>
            </w:tabs>
            <w:spacing w:line="360" w:lineRule="auto"/>
            <w:ind w:firstLine="480" w:firstLineChars="200"/>
            <w:rPr>
              <w:sz w:val="24"/>
              <w:szCs w:val="24"/>
            </w:rPr>
          </w:pPr>
          <w:r>
            <w:rPr>
              <w:rFonts w:hint="eastAsia"/>
              <w:sz w:val="24"/>
              <w:szCs w:val="24"/>
            </w:rPr>
            <w:fldChar w:fldCharType="begin"/>
          </w:r>
          <w:r>
            <w:rPr>
              <w:rFonts w:hint="eastAsia"/>
              <w:sz w:val="24"/>
              <w:szCs w:val="24"/>
            </w:rPr>
            <w:instrText xml:space="preserve"> HYPERLINK \l _Toc7573 </w:instrText>
          </w:r>
          <w:r>
            <w:rPr>
              <w:rFonts w:hint="eastAsia"/>
              <w:sz w:val="24"/>
              <w:szCs w:val="24"/>
            </w:rPr>
            <w:fldChar w:fldCharType="separate"/>
          </w:r>
          <w:r>
            <w:rPr>
              <w:rFonts w:hint="eastAsia"/>
              <w:sz w:val="24"/>
              <w:szCs w:val="24"/>
              <w:lang w:eastAsia="zh-CN"/>
            </w:rPr>
            <w:t>二、</w:t>
          </w:r>
          <w:r>
            <w:rPr>
              <w:rFonts w:hint="eastAsia"/>
              <w:sz w:val="24"/>
              <w:szCs w:val="24"/>
            </w:rPr>
            <w:t>职责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_Toc7573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3</w:t>
          </w:r>
          <w:r>
            <w:rPr>
              <w:sz w:val="24"/>
              <w:szCs w:val="24"/>
            </w:rPr>
            <w:fldChar w:fldCharType="end"/>
          </w:r>
          <w:r>
            <w:rPr>
              <w:rFonts w:hint="eastAsia"/>
              <w:sz w:val="24"/>
              <w:szCs w:val="24"/>
            </w:rPr>
            <w:fldChar w:fldCharType="end"/>
          </w:r>
        </w:p>
        <w:p>
          <w:pPr>
            <w:pStyle w:val="15"/>
            <w:tabs>
              <w:tab w:val="right" w:leader="dot" w:pos="8306"/>
            </w:tabs>
            <w:spacing w:line="360" w:lineRule="auto"/>
            <w:ind w:firstLine="480" w:firstLineChars="200"/>
            <w:rPr>
              <w:sz w:val="24"/>
              <w:szCs w:val="24"/>
            </w:rPr>
          </w:pPr>
          <w:r>
            <w:rPr>
              <w:rFonts w:hint="eastAsia"/>
              <w:sz w:val="24"/>
              <w:szCs w:val="24"/>
            </w:rPr>
            <w:fldChar w:fldCharType="begin"/>
          </w:r>
          <w:r>
            <w:rPr>
              <w:rFonts w:hint="eastAsia"/>
              <w:sz w:val="24"/>
              <w:szCs w:val="24"/>
            </w:rPr>
            <w:instrText xml:space="preserve"> HYPERLINK \l _Toc2228 </w:instrText>
          </w:r>
          <w:r>
            <w:rPr>
              <w:rFonts w:hint="eastAsia"/>
              <w:sz w:val="24"/>
              <w:szCs w:val="24"/>
            </w:rPr>
            <w:fldChar w:fldCharType="separate"/>
          </w:r>
          <w:r>
            <w:rPr>
              <w:rFonts w:hint="eastAsia"/>
              <w:sz w:val="24"/>
              <w:szCs w:val="24"/>
              <w:lang w:eastAsia="zh-CN"/>
            </w:rPr>
            <w:t>三、</w:t>
          </w:r>
          <w:r>
            <w:rPr>
              <w:rFonts w:hint="eastAsia"/>
              <w:sz w:val="24"/>
              <w:szCs w:val="24"/>
            </w:rPr>
            <w:t>管理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_Toc2228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3</w:t>
          </w:r>
          <w:r>
            <w:rPr>
              <w:sz w:val="24"/>
              <w:szCs w:val="24"/>
            </w:rPr>
            <w:fldChar w:fldCharType="end"/>
          </w:r>
          <w:r>
            <w:rPr>
              <w:rFonts w:hint="eastAsia"/>
              <w:sz w:val="24"/>
              <w:szCs w:val="24"/>
            </w:rPr>
            <w:fldChar w:fldCharType="end"/>
          </w:r>
        </w:p>
        <w:p>
          <w:pPr>
            <w:pStyle w:val="15"/>
            <w:tabs>
              <w:tab w:val="right" w:leader="dot" w:pos="8306"/>
            </w:tabs>
            <w:spacing w:line="360" w:lineRule="auto"/>
            <w:ind w:firstLine="480" w:firstLineChars="200"/>
            <w:rPr>
              <w:sz w:val="24"/>
              <w:szCs w:val="24"/>
            </w:rPr>
          </w:pPr>
          <w:r>
            <w:rPr>
              <w:rFonts w:hint="eastAsia"/>
              <w:sz w:val="24"/>
              <w:szCs w:val="24"/>
            </w:rPr>
            <w:fldChar w:fldCharType="begin"/>
          </w:r>
          <w:r>
            <w:rPr>
              <w:rFonts w:hint="eastAsia"/>
              <w:sz w:val="24"/>
              <w:szCs w:val="24"/>
            </w:rPr>
            <w:instrText xml:space="preserve"> HYPERLINK \l _Toc12992 </w:instrText>
          </w:r>
          <w:r>
            <w:rPr>
              <w:rFonts w:hint="eastAsia"/>
              <w:sz w:val="24"/>
              <w:szCs w:val="24"/>
            </w:rPr>
            <w:fldChar w:fldCharType="separate"/>
          </w:r>
          <w:r>
            <w:rPr>
              <w:rFonts w:hint="eastAsia"/>
              <w:sz w:val="24"/>
              <w:szCs w:val="24"/>
              <w:lang w:eastAsia="zh-CN"/>
            </w:rPr>
            <w:t>四、</w:t>
          </w:r>
          <w:r>
            <w:rPr>
              <w:rFonts w:hint="eastAsia"/>
              <w:sz w:val="24"/>
              <w:szCs w:val="24"/>
            </w:rPr>
            <w:t>维护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_Toc12992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4</w:t>
          </w:r>
          <w:r>
            <w:rPr>
              <w:sz w:val="24"/>
              <w:szCs w:val="24"/>
            </w:rPr>
            <w:fldChar w:fldCharType="end"/>
          </w:r>
          <w:r>
            <w:rPr>
              <w:rFonts w:hint="eastAsia"/>
              <w:sz w:val="24"/>
              <w:szCs w:val="24"/>
            </w:rPr>
            <w:fldChar w:fldCharType="end"/>
          </w:r>
        </w:p>
        <w:p>
          <w:pPr>
            <w:pStyle w:val="15"/>
            <w:tabs>
              <w:tab w:val="right" w:leader="dot" w:pos="8306"/>
            </w:tabs>
            <w:spacing w:line="360" w:lineRule="auto"/>
            <w:ind w:firstLine="480" w:firstLineChars="200"/>
            <w:rPr>
              <w:sz w:val="24"/>
              <w:szCs w:val="24"/>
            </w:rPr>
          </w:pPr>
          <w:r>
            <w:rPr>
              <w:rFonts w:hint="eastAsia"/>
              <w:sz w:val="24"/>
              <w:szCs w:val="24"/>
            </w:rPr>
            <w:fldChar w:fldCharType="begin"/>
          </w:r>
          <w:r>
            <w:rPr>
              <w:rFonts w:hint="eastAsia"/>
              <w:sz w:val="24"/>
              <w:szCs w:val="24"/>
            </w:rPr>
            <w:instrText xml:space="preserve"> HYPERLINK \l _Toc21455 </w:instrText>
          </w:r>
          <w:r>
            <w:rPr>
              <w:rFonts w:hint="eastAsia"/>
              <w:sz w:val="24"/>
              <w:szCs w:val="24"/>
            </w:rPr>
            <w:fldChar w:fldCharType="separate"/>
          </w:r>
          <w:r>
            <w:rPr>
              <w:rFonts w:hint="eastAsia"/>
              <w:sz w:val="24"/>
              <w:szCs w:val="24"/>
              <w:lang w:eastAsia="zh-CN"/>
            </w:rPr>
            <w:t>五、</w:t>
          </w:r>
          <w:r>
            <w:rPr>
              <w:rFonts w:hint="eastAsia"/>
              <w:sz w:val="24"/>
              <w:szCs w:val="24"/>
            </w:rPr>
            <w:t>附则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_Toc21455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5</w:t>
          </w:r>
          <w:r>
            <w:rPr>
              <w:sz w:val="24"/>
              <w:szCs w:val="24"/>
            </w:rPr>
            <w:fldChar w:fldCharType="end"/>
          </w:r>
          <w:r>
            <w:rPr>
              <w:rFonts w:hint="eastAsia"/>
              <w:sz w:val="24"/>
              <w:szCs w:val="24"/>
            </w:rPr>
            <w:fldChar w:fldCharType="end"/>
          </w:r>
        </w:p>
        <w:p>
          <w:pPr>
            <w:widowControl/>
            <w:spacing w:line="360" w:lineRule="auto"/>
            <w:jc w:val="left"/>
            <w:rPr>
              <w:rFonts w:hint="eastAsia" w:ascii="Times New Roman" w:hAnsi="Times New Roman" w:eastAsia="黑体" w:cs="Times New Roman"/>
              <w:b/>
              <w:bCs/>
              <w:kern w:val="2"/>
              <w:sz w:val="24"/>
              <w:szCs w:val="24"/>
              <w:lang w:val="en-US" w:eastAsia="zh-CN" w:bidi="ar-SA"/>
            </w:rPr>
          </w:pPr>
          <w:r>
            <w:rPr>
              <w:rFonts w:hint="eastAsia"/>
              <w:sz w:val="24"/>
              <w:szCs w:val="24"/>
            </w:rPr>
            <w:fldChar w:fldCharType="end"/>
          </w:r>
        </w:p>
      </w:sdtContent>
    </w:sdt>
    <w:p>
      <w:pPr>
        <w:spacing w:before="156" w:beforeLines="50" w:after="156" w:afterLines="50" w:line="360" w:lineRule="auto"/>
        <w:jc w:val="center"/>
        <w:outlineLvl w:val="0"/>
        <w:rPr>
          <w:rFonts w:hint="eastAsia" w:ascii="仿宋" w:hAnsi="仿宋" w:eastAsia="仿宋" w:cs="仿宋"/>
          <w:sz w:val="28"/>
          <w:lang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upperRoman" w:start="1"/>
          <w:cols w:space="720" w:num="1"/>
          <w:docGrid w:type="lines" w:linePitch="312" w:charSpace="0"/>
        </w:sectPr>
      </w:pPr>
    </w:p>
    <w:p>
      <w:pPr>
        <w:bidi w:val="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山东省润泰新材料有限公司</w:t>
      </w:r>
      <w:r>
        <w:rPr>
          <w:rFonts w:hint="eastAsia" w:ascii="仿宋" w:hAnsi="仿宋" w:eastAsia="仿宋" w:cs="仿宋"/>
          <w:sz w:val="28"/>
          <w:szCs w:val="28"/>
        </w:rPr>
        <w:t>环境应急资源调查报告</w:t>
      </w:r>
    </w:p>
    <w:tbl>
      <w:tblPr>
        <w:tblStyle w:val="19"/>
        <w:tblW w:w="911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9"/>
        <w:gridCol w:w="2349"/>
        <w:gridCol w:w="2051"/>
        <w:gridCol w:w="274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1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61" w:beforeLines="50" w:line="360" w:lineRule="auto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1.调查概述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6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调查开始时间</w:t>
            </w:r>
          </w:p>
        </w:tc>
        <w:tc>
          <w:tcPr>
            <w:tcW w:w="23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2022年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日</w:t>
            </w:r>
          </w:p>
        </w:tc>
        <w:tc>
          <w:tcPr>
            <w:tcW w:w="205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调查结束时间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2022年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6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调查负责人姓名</w:t>
            </w:r>
          </w:p>
        </w:tc>
        <w:tc>
          <w:tcPr>
            <w:tcW w:w="23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61" w:beforeLines="50" w:line="36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曾凡玉</w:t>
            </w:r>
          </w:p>
        </w:tc>
        <w:tc>
          <w:tcPr>
            <w:tcW w:w="2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61" w:beforeLines="50" w:line="360" w:lineRule="auto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联系人/电话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61" w:beforeLines="50" w:line="360" w:lineRule="auto"/>
              <w:ind w:firstLine="480" w:firstLineChars="200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18754968033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61" w:beforeLines="50"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调查过程</w:t>
            </w:r>
          </w:p>
        </w:tc>
        <w:tc>
          <w:tcPr>
            <w:tcW w:w="714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61" w:beforeLines="50" w:line="360" w:lineRule="auto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2022年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日，公司成立了以主要负责人为组长，生产技术人员和安环管理人员为组员的环境应急资源调查小组，根据编写的应急预案和风险评估的相关内容以及实际的需求，《环境应急资源调查报告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表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》。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1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61" w:beforeLines="50"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2.调查结果（调查结果如果为“有”，应附相应调查表）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61" w:beforeLines="50"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应急资源情况</w:t>
            </w:r>
          </w:p>
        </w:tc>
        <w:tc>
          <w:tcPr>
            <w:tcW w:w="714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61" w:beforeLines="50"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资源品种：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>19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种；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61" w:beforeLines="50"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是否有外部环境应急支持单位：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52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有,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家；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1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61" w:beforeLines="50"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3.调查质量控制与管理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1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61" w:beforeLines="50"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是否进行了调查信息审核：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52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有；□无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61" w:beforeLines="50"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是否建立了调查信息档案：□有；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52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61" w:beforeLines="50"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是否建立了调查更新机制：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52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有；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1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61" w:beforeLines="50"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4.资源储备与应急需求匹配的分析结论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1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61" w:beforeLines="50"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□完全满足；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52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满足；□基本满足；□不能满足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1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61" w:beforeLines="50"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5.附件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1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61" w:beforeLines="50"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附件1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环境应急资源/信息汇总表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61" w:beforeLines="50"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附件2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环境应急资源单位内部分布图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61" w:beforeLines="50"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附件3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环境应急资源管理维护更新等制度</w:t>
            </w:r>
          </w:p>
        </w:tc>
      </w:tr>
    </w:tbl>
    <w:p>
      <w:pPr>
        <w:pStyle w:val="2"/>
        <w:rPr>
          <w:rFonts w:hint="eastAsia"/>
        </w:rPr>
      </w:pPr>
    </w:p>
    <w:p>
      <w:pPr>
        <w:widowControl/>
        <w:spacing w:line="360" w:lineRule="auto"/>
        <w:jc w:val="left"/>
        <w:rPr>
          <w:rFonts w:hint="eastAsia" w:ascii="仿宋" w:hAnsi="仿宋" w:eastAsia="仿宋" w:cs="仿宋"/>
          <w:sz w:val="28"/>
          <w:szCs w:val="28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NumType w:start="1"/>
          <w:cols w:space="720" w:num="1"/>
          <w:docGrid w:type="lines" w:linePitch="312" w:charSpace="0"/>
        </w:sectPr>
      </w:pPr>
    </w:p>
    <w:p>
      <w:pPr>
        <w:pStyle w:val="8"/>
        <w:bidi w:val="0"/>
        <w:outlineLvl w:val="0"/>
        <w:rPr>
          <w:rFonts w:hint="eastAsia"/>
        </w:rPr>
      </w:pPr>
      <w:bookmarkStart w:id="1" w:name="_Toc28811"/>
      <w:r>
        <w:rPr>
          <w:rFonts w:hint="eastAsia"/>
        </w:rPr>
        <w:t>附件1</w:t>
      </w:r>
      <w:bookmarkEnd w:id="1"/>
    </w:p>
    <w:tbl>
      <w:tblPr>
        <w:tblStyle w:val="20"/>
        <w:tblW w:w="534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7"/>
        <w:gridCol w:w="2488"/>
        <w:gridCol w:w="1367"/>
        <w:gridCol w:w="3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环境应急资源信息汇总表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13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7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存放地点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灭火器</w:t>
            </w:r>
          </w:p>
        </w:tc>
        <w:tc>
          <w:tcPr>
            <w:tcW w:w="13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7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甲醛装置、产品仓库、危废库、综合楼、尾气锅炉等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消防战斗服</w:t>
            </w:r>
          </w:p>
        </w:tc>
        <w:tc>
          <w:tcPr>
            <w:tcW w:w="13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7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综合楼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1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消防手斧</w:t>
            </w:r>
          </w:p>
        </w:tc>
        <w:tc>
          <w:tcPr>
            <w:tcW w:w="13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7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综合楼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重型防化服</w:t>
            </w:r>
          </w:p>
        </w:tc>
        <w:tc>
          <w:tcPr>
            <w:tcW w:w="13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7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综合楼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正压式呼吸器</w:t>
            </w:r>
          </w:p>
        </w:tc>
        <w:tc>
          <w:tcPr>
            <w:tcW w:w="13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7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综合楼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防毒面具</w:t>
            </w:r>
          </w:p>
        </w:tc>
        <w:tc>
          <w:tcPr>
            <w:tcW w:w="13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7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综合楼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安全绳</w:t>
            </w:r>
          </w:p>
        </w:tc>
        <w:tc>
          <w:tcPr>
            <w:tcW w:w="13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7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综合楼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分水器</w:t>
            </w:r>
          </w:p>
        </w:tc>
        <w:tc>
          <w:tcPr>
            <w:tcW w:w="13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7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综合楼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防爆手电</w:t>
            </w:r>
          </w:p>
        </w:tc>
        <w:tc>
          <w:tcPr>
            <w:tcW w:w="13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盘</w:t>
            </w:r>
          </w:p>
        </w:tc>
        <w:tc>
          <w:tcPr>
            <w:tcW w:w="7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综合楼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消防水带</w:t>
            </w:r>
          </w:p>
        </w:tc>
        <w:tc>
          <w:tcPr>
            <w:tcW w:w="13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7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综合楼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消防定位呼救器</w:t>
            </w:r>
          </w:p>
        </w:tc>
        <w:tc>
          <w:tcPr>
            <w:tcW w:w="13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副</w:t>
            </w:r>
          </w:p>
        </w:tc>
        <w:tc>
          <w:tcPr>
            <w:tcW w:w="7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综合楼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防腐蚀手套</w:t>
            </w:r>
          </w:p>
        </w:tc>
        <w:tc>
          <w:tcPr>
            <w:tcW w:w="13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7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综合楼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应急药箱</w:t>
            </w:r>
          </w:p>
        </w:tc>
        <w:tc>
          <w:tcPr>
            <w:tcW w:w="13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7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综合楼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便携式检测仪</w:t>
            </w:r>
          </w:p>
        </w:tc>
        <w:tc>
          <w:tcPr>
            <w:tcW w:w="13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7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综合楼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防爆对讲机</w:t>
            </w:r>
          </w:p>
        </w:tc>
        <w:tc>
          <w:tcPr>
            <w:tcW w:w="13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辆</w:t>
            </w:r>
          </w:p>
        </w:tc>
        <w:tc>
          <w:tcPr>
            <w:tcW w:w="7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综合楼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应急消防车</w:t>
            </w:r>
          </w:p>
        </w:tc>
        <w:tc>
          <w:tcPr>
            <w:tcW w:w="13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7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厂区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9" w:type="pct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firstLine="0" w:firstLineChars="0"/>
              <w:textAlignment w:val="auto"/>
              <w:rPr>
                <w:rFonts w:hint="default" w:ascii="仿宋" w:hAnsi="仿宋" w:eastAsia="仿宋" w:cs="仿宋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 w:val="0"/>
                <w:kern w:val="2"/>
                <w:sz w:val="24"/>
                <w:szCs w:val="24"/>
                <w:lang w:val="en-US" w:eastAsia="zh-CN" w:bidi="ar-SA"/>
              </w:rPr>
              <w:t>火灾报警装置</w:t>
            </w:r>
          </w:p>
        </w:tc>
        <w:tc>
          <w:tcPr>
            <w:tcW w:w="13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 w:val="0"/>
                <w:kern w:val="2"/>
                <w:sz w:val="24"/>
                <w:szCs w:val="24"/>
                <w:lang w:val="en-US" w:eastAsia="zh-CN" w:bidi="ar-SA"/>
              </w:rPr>
              <w:t>个</w:t>
            </w:r>
          </w:p>
        </w:tc>
        <w:tc>
          <w:tcPr>
            <w:tcW w:w="7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88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甲醛装置、产品仓库、控制室、消防泵房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9" w:type="pct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firstLine="0" w:firstLineChars="0"/>
              <w:textAlignment w:val="auto"/>
              <w:rPr>
                <w:rFonts w:hint="default" w:ascii="仿宋" w:hAnsi="仿宋" w:eastAsia="仿宋" w:cs="仿宋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 w:val="0"/>
                <w:kern w:val="2"/>
                <w:sz w:val="24"/>
                <w:szCs w:val="24"/>
                <w:lang w:val="en-US" w:eastAsia="zh-CN" w:bidi="ar-SA"/>
              </w:rPr>
              <w:t>气体探测器配置</w:t>
            </w:r>
          </w:p>
        </w:tc>
        <w:tc>
          <w:tcPr>
            <w:tcW w:w="13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 w:val="0"/>
                <w:kern w:val="2"/>
                <w:sz w:val="24"/>
                <w:szCs w:val="24"/>
                <w:lang w:val="en-US" w:eastAsia="zh-CN" w:bidi="ar-SA"/>
              </w:rPr>
              <w:t>台</w:t>
            </w:r>
          </w:p>
        </w:tc>
        <w:tc>
          <w:tcPr>
            <w:tcW w:w="7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甲醛装置、空压制氮机房、罐区、装卸区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9" w:type="pct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firstLine="0" w:firstLineChars="0"/>
              <w:textAlignment w:val="auto"/>
              <w:rPr>
                <w:rFonts w:hint="default" w:ascii="仿宋" w:hAnsi="仿宋" w:eastAsia="仿宋" w:cs="仿宋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 w:val="0"/>
                <w:kern w:val="2"/>
                <w:sz w:val="24"/>
                <w:szCs w:val="24"/>
                <w:lang w:val="en-US" w:eastAsia="zh-CN" w:bidi="ar-SA"/>
              </w:rPr>
              <w:t>淋洗器配置</w:t>
            </w:r>
          </w:p>
        </w:tc>
        <w:tc>
          <w:tcPr>
            <w:tcW w:w="13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 w:val="0"/>
                <w:kern w:val="2"/>
                <w:sz w:val="24"/>
                <w:szCs w:val="24"/>
                <w:lang w:val="en-US" w:eastAsia="zh-CN" w:bidi="ar-SA"/>
              </w:rPr>
              <w:t>台</w:t>
            </w:r>
          </w:p>
        </w:tc>
        <w:tc>
          <w:tcPr>
            <w:tcW w:w="7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甲醛装置、产品仓库、罐区、装卸区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环境应急支持单位信息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类别</w:t>
            </w:r>
          </w:p>
        </w:tc>
        <w:tc>
          <w:tcPr>
            <w:tcW w:w="13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单位名称</w:t>
            </w:r>
          </w:p>
        </w:tc>
        <w:tc>
          <w:tcPr>
            <w:tcW w:w="2395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主要能力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9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应急救援单位</w:t>
            </w:r>
          </w:p>
        </w:tc>
        <w:tc>
          <w:tcPr>
            <w:tcW w:w="13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枣庄市美辰化工有限公司</w:t>
            </w:r>
          </w:p>
        </w:tc>
        <w:tc>
          <w:tcPr>
            <w:tcW w:w="2395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根据实际情况提供应急救援人员及应急物资支持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9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山东三益环境测试分析有限公司</w:t>
            </w:r>
          </w:p>
        </w:tc>
        <w:tc>
          <w:tcPr>
            <w:tcW w:w="2395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提供应急监测服务</w:t>
            </w:r>
          </w:p>
        </w:tc>
      </w:tr>
    </w:tbl>
    <w:p>
      <w:pPr>
        <w:widowControl/>
        <w:jc w:val="left"/>
        <w:rPr>
          <w:rFonts w:hint="eastAsia" w:ascii="仿宋" w:hAnsi="仿宋" w:eastAsia="仿宋" w:cs="仿宋"/>
        </w:rPr>
        <w:sectPr>
          <w:pgSz w:w="11906" w:h="16838"/>
          <w:pgMar w:top="1440" w:right="1800" w:bottom="1440" w:left="1800" w:header="851" w:footer="992" w:gutter="0"/>
          <w:pgNumType w:start="1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</w:rPr>
        <w:br w:type="page"/>
      </w:r>
    </w:p>
    <w:p>
      <w:pPr>
        <w:pStyle w:val="8"/>
        <w:bidi w:val="0"/>
        <w:outlineLvl w:val="0"/>
        <w:rPr>
          <w:rFonts w:hint="default"/>
          <w:lang w:val="en-US" w:eastAsia="zh-CN"/>
        </w:rPr>
      </w:pPr>
      <w:bookmarkStart w:id="2" w:name="_Toc16315"/>
      <w:r>
        <w:rPr>
          <w:rFonts w:hint="eastAsia"/>
        </w:rPr>
        <w:t>附件</w:t>
      </w:r>
      <w:r>
        <w:rPr>
          <w:rFonts w:hint="eastAsia"/>
          <w:lang w:val="en-US" w:eastAsia="zh-CN"/>
        </w:rPr>
        <w:t xml:space="preserve">2 </w:t>
      </w:r>
      <w:r>
        <w:rPr>
          <w:rFonts w:hint="eastAsia"/>
          <w:color w:val="auto"/>
          <w:lang w:val="en-US" w:eastAsia="zh-CN"/>
        </w:rPr>
        <w:t>紧急撤离路线及应急物资分布图</w:t>
      </w:r>
      <w:bookmarkEnd w:id="2"/>
    </w:p>
    <w:p>
      <w:pPr>
        <w:jc w:val="center"/>
        <w:rPr>
          <w:rFonts w:hint="eastAsia"/>
          <w:lang w:val="en-US" w:eastAsia="zh-CN"/>
        </w:rPr>
        <w:sectPr>
          <w:pgSz w:w="16838" w:h="11906" w:orient="landscape"/>
          <w:pgMar w:top="1587" w:right="1417" w:bottom="1417" w:left="1247" w:header="850" w:footer="680" w:gutter="0"/>
          <w:pgNumType w:fmt="decimal"/>
          <w:cols w:space="720" w:num="1"/>
          <w:rtlGutter w:val="0"/>
          <w:docGrid w:type="lines" w:linePitch="320" w:charSpace="0"/>
        </w:sectPr>
      </w:pPr>
      <w:r>
        <w:drawing>
          <wp:inline distT="0" distB="0" distL="114300" distR="114300">
            <wp:extent cx="8741410" cy="5160010"/>
            <wp:effectExtent l="0" t="0" r="2540" b="254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741410" cy="516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bidi w:val="0"/>
        <w:outlineLvl w:val="0"/>
        <w:rPr>
          <w:rFonts w:hint="default"/>
          <w:lang w:val="en-US" w:eastAsia="zh-CN"/>
        </w:rPr>
      </w:pPr>
      <w:bookmarkStart w:id="3" w:name="_Toc4997"/>
      <w:r>
        <w:rPr>
          <w:rFonts w:hint="eastAsia"/>
          <w:lang w:val="en-US" w:eastAsia="zh-CN"/>
        </w:rPr>
        <w:t>附件3</w:t>
      </w:r>
      <w:bookmarkEnd w:id="3"/>
    </w:p>
    <w:p>
      <w:pPr>
        <w:pStyle w:val="6"/>
        <w:bidi w:val="0"/>
        <w:ind w:left="0" w:leftChars="0" w:right="0" w:rightChars="0" w:firstLine="0" w:firstLineChars="0"/>
        <w:jc w:val="center"/>
        <w:rPr>
          <w:rFonts w:hint="eastAsia"/>
          <w:sz w:val="32"/>
          <w:szCs w:val="32"/>
        </w:rPr>
      </w:pPr>
      <w:bookmarkStart w:id="4" w:name="_Toc8011"/>
      <w:r>
        <w:rPr>
          <w:rFonts w:hint="eastAsia"/>
          <w:sz w:val="32"/>
          <w:szCs w:val="32"/>
        </w:rPr>
        <w:t>应急抢险物资管理维护更新制度</w:t>
      </w:r>
      <w:bookmarkEnd w:id="4"/>
    </w:p>
    <w:p>
      <w:pPr>
        <w:spacing w:line="480" w:lineRule="exact"/>
        <w:jc w:val="center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8"/>
        <w:bidi w:val="0"/>
        <w:outlineLvl w:val="0"/>
        <w:rPr>
          <w:rFonts w:hint="eastAsia"/>
        </w:rPr>
      </w:pPr>
      <w:bookmarkStart w:id="5" w:name="_Toc17659"/>
      <w:r>
        <w:rPr>
          <w:rFonts w:hint="eastAsia"/>
          <w:lang w:eastAsia="zh-CN"/>
        </w:rPr>
        <w:t>一、</w:t>
      </w:r>
      <w:r>
        <w:rPr>
          <w:rFonts w:hint="eastAsia"/>
        </w:rPr>
        <w:t>总则</w:t>
      </w:r>
      <w:bookmarkEnd w:id="5"/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sz w:val="28"/>
          <w:szCs w:val="28"/>
        </w:rPr>
        <w:t>为规范公司应急抢险物资管理，确保应急抢险顺利进行，特制定本制度。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sz w:val="28"/>
          <w:szCs w:val="28"/>
        </w:rPr>
        <w:t>公司应急抢险物资管理坚持“保障急需、定额储备”的原则。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应急保障组</w:t>
      </w:r>
      <w:r>
        <w:rPr>
          <w:rFonts w:hint="eastAsia" w:ascii="仿宋" w:hAnsi="仿宋" w:eastAsia="仿宋" w:cs="仿宋"/>
          <w:sz w:val="28"/>
          <w:szCs w:val="28"/>
        </w:rPr>
        <w:t>为公司应急抢险物资的归口管理单位。</w:t>
      </w:r>
    </w:p>
    <w:p>
      <w:pPr>
        <w:pStyle w:val="8"/>
        <w:bidi w:val="0"/>
        <w:outlineLvl w:val="0"/>
        <w:rPr>
          <w:rFonts w:hint="eastAsia"/>
        </w:rPr>
      </w:pPr>
      <w:bookmarkStart w:id="6" w:name="_Toc7573"/>
      <w:r>
        <w:rPr>
          <w:rFonts w:hint="eastAsia"/>
          <w:lang w:eastAsia="zh-CN"/>
        </w:rPr>
        <w:t>二、</w:t>
      </w:r>
      <w:r>
        <w:rPr>
          <w:rFonts w:hint="eastAsia"/>
        </w:rPr>
        <w:t>职责</w:t>
      </w:r>
      <w:bookmarkEnd w:id="6"/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bookmarkStart w:id="7" w:name="_Toc32178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sz w:val="28"/>
          <w:szCs w:val="28"/>
        </w:rPr>
        <w:t>应急保障组</w:t>
      </w:r>
      <w:bookmarkEnd w:id="7"/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(1) </w:t>
      </w:r>
      <w:r>
        <w:rPr>
          <w:rFonts w:hint="eastAsia" w:ascii="仿宋" w:hAnsi="仿宋" w:eastAsia="仿宋" w:cs="仿宋"/>
          <w:sz w:val="28"/>
          <w:szCs w:val="28"/>
        </w:rPr>
        <w:t>负责确定应急抢险物资的品种、数量、存放地点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及</w:t>
      </w:r>
      <w:r>
        <w:rPr>
          <w:rFonts w:hint="eastAsia" w:ascii="仿宋" w:hAnsi="仿宋" w:eastAsia="仿宋" w:cs="仿宋"/>
          <w:sz w:val="28"/>
          <w:szCs w:val="28"/>
        </w:rPr>
        <w:t>管理工作等。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(2)</w:t>
      </w:r>
      <w:r>
        <w:rPr>
          <w:rFonts w:hint="eastAsia" w:ascii="仿宋" w:hAnsi="仿宋" w:eastAsia="仿宋" w:cs="仿宋"/>
          <w:sz w:val="28"/>
          <w:szCs w:val="28"/>
        </w:rPr>
        <w:t xml:space="preserve"> 负责抢险物资的监督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检查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保养工作。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(3)</w:t>
      </w:r>
      <w:r>
        <w:rPr>
          <w:rFonts w:hint="eastAsia" w:ascii="仿宋" w:hAnsi="仿宋" w:eastAsia="仿宋" w:cs="仿宋"/>
          <w:sz w:val="28"/>
          <w:szCs w:val="28"/>
        </w:rPr>
        <w:t xml:space="preserve"> 根据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应急指挥部指示</w:t>
      </w:r>
      <w:r>
        <w:rPr>
          <w:rFonts w:hint="eastAsia" w:ascii="仿宋" w:hAnsi="仿宋" w:eastAsia="仿宋" w:cs="仿宋"/>
          <w:sz w:val="28"/>
          <w:szCs w:val="28"/>
        </w:rPr>
        <w:t>负责抢险物资的紧急调运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bookmarkStart w:id="8" w:name="_Toc22771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sz w:val="28"/>
          <w:szCs w:val="28"/>
        </w:rPr>
        <w:t>现场处置组</w:t>
      </w:r>
      <w:bookmarkEnd w:id="8"/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(1)</w:t>
      </w:r>
      <w:r>
        <w:rPr>
          <w:rFonts w:hint="eastAsia" w:ascii="仿宋" w:hAnsi="仿宋" w:eastAsia="仿宋" w:cs="仿宋"/>
          <w:sz w:val="28"/>
          <w:szCs w:val="28"/>
        </w:rPr>
        <w:t xml:space="preserve"> 负责本单位应急抢险物资需求计划的编报、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使用；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(2)</w:t>
      </w:r>
      <w:r>
        <w:rPr>
          <w:rFonts w:hint="eastAsia" w:ascii="仿宋" w:hAnsi="仿宋" w:eastAsia="仿宋" w:cs="仿宋"/>
          <w:sz w:val="28"/>
          <w:szCs w:val="28"/>
        </w:rPr>
        <w:t xml:space="preserve"> 负责按指令调运应急物资。</w:t>
      </w:r>
    </w:p>
    <w:p>
      <w:pPr>
        <w:pStyle w:val="8"/>
        <w:bidi w:val="0"/>
        <w:outlineLvl w:val="0"/>
        <w:rPr>
          <w:rFonts w:hint="eastAsia"/>
        </w:rPr>
      </w:pPr>
      <w:bookmarkStart w:id="9" w:name="_Toc2228"/>
      <w:r>
        <w:rPr>
          <w:rFonts w:hint="eastAsia"/>
          <w:lang w:eastAsia="zh-CN"/>
        </w:rPr>
        <w:t>三、</w:t>
      </w:r>
      <w:r>
        <w:rPr>
          <w:rFonts w:hint="eastAsia"/>
        </w:rPr>
        <w:t>管理</w:t>
      </w:r>
      <w:bookmarkEnd w:id="9"/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(1)</w:t>
      </w:r>
      <w:r>
        <w:rPr>
          <w:rFonts w:hint="eastAsia" w:ascii="仿宋" w:hAnsi="仿宋" w:eastAsia="仿宋" w:cs="仿宋"/>
          <w:sz w:val="28"/>
          <w:szCs w:val="28"/>
        </w:rPr>
        <w:t xml:space="preserve"> 抢险物资由专人负责管理，24小时值班，做好随时发放调运的各项准备。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(2)</w:t>
      </w:r>
      <w:r>
        <w:rPr>
          <w:rFonts w:hint="eastAsia" w:ascii="仿宋" w:hAnsi="仿宋" w:eastAsia="仿宋" w:cs="仿宋"/>
          <w:sz w:val="28"/>
          <w:szCs w:val="28"/>
        </w:rPr>
        <w:t xml:space="preserve"> 按仓储管理制度的规定存储，每批（件）物品都应有明显标签（品名、编号、数量、质量和生产日期等），做到“实物、标签、台账”相符。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(3)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应急库</w:t>
      </w:r>
      <w:r>
        <w:rPr>
          <w:rFonts w:hint="eastAsia" w:ascii="仿宋" w:hAnsi="仿宋" w:eastAsia="仿宋" w:cs="仿宋"/>
          <w:sz w:val="28"/>
          <w:szCs w:val="28"/>
        </w:rPr>
        <w:t>要设置明显的标志，搬运方便；库房内防潮、通风、防火、防盗、防鼠、防污染等设施齐全。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(4)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定期对</w:t>
      </w:r>
      <w:r>
        <w:rPr>
          <w:rFonts w:hint="eastAsia" w:ascii="仿宋" w:hAnsi="仿宋" w:eastAsia="仿宋" w:cs="仿宋"/>
          <w:sz w:val="28"/>
          <w:szCs w:val="28"/>
        </w:rPr>
        <w:t>各类抢险物资进行全面的检查和保养，对已损坏或过期的物资及时维修、更新，保证抢险物资完好无损。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(5)</w:t>
      </w:r>
      <w:r>
        <w:rPr>
          <w:rFonts w:hint="eastAsia" w:ascii="仿宋" w:hAnsi="仿宋" w:eastAsia="仿宋" w:cs="仿宋"/>
          <w:sz w:val="28"/>
          <w:szCs w:val="28"/>
        </w:rPr>
        <w:t xml:space="preserve"> 接到调拨指令后，立即组织物资发送，指派专人押运物资到指定地点。未经公司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应急指挥部</w:t>
      </w:r>
      <w:r>
        <w:rPr>
          <w:rFonts w:hint="eastAsia" w:ascii="仿宋" w:hAnsi="仿宋" w:eastAsia="仿宋" w:cs="仿宋"/>
          <w:sz w:val="28"/>
          <w:szCs w:val="28"/>
        </w:rPr>
        <w:t>批准，任何单位和个人不得动用抢险物资。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  <w:sectPr>
          <w:pgSz w:w="11906" w:h="16838"/>
          <w:pgMar w:top="1417" w:right="1417" w:bottom="1247" w:left="1587" w:header="850" w:footer="680" w:gutter="0"/>
          <w:pgNumType w:fmt="decimal"/>
          <w:cols w:space="720" w:num="1"/>
          <w:rtlGutter w:val="0"/>
          <w:docGrid w:type="lines" w:linePitch="320" w:charSpace="0"/>
        </w:sectPr>
      </w:pPr>
    </w:p>
    <w:p>
      <w:pPr>
        <w:pStyle w:val="8"/>
        <w:bidi w:val="0"/>
        <w:outlineLvl w:val="0"/>
        <w:rPr>
          <w:rFonts w:hint="eastAsia"/>
        </w:rPr>
      </w:pPr>
      <w:bookmarkStart w:id="10" w:name="_Toc12992"/>
      <w:r>
        <w:rPr>
          <w:rFonts w:hint="eastAsia"/>
          <w:lang w:eastAsia="zh-CN"/>
        </w:rPr>
        <w:t>四、</w:t>
      </w:r>
      <w:r>
        <w:rPr>
          <w:rFonts w:hint="eastAsia"/>
        </w:rPr>
        <w:t>维护</w:t>
      </w:r>
      <w:bookmarkEnd w:id="10"/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设备或设施、防护器材的每日检查由所在岗位执行，调度为直接责任人，生产部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经理</w:t>
      </w:r>
      <w:r>
        <w:rPr>
          <w:rFonts w:hint="eastAsia" w:ascii="仿宋" w:hAnsi="仿宋" w:eastAsia="仿宋" w:cs="仿宋"/>
          <w:sz w:val="28"/>
          <w:szCs w:val="28"/>
        </w:rPr>
        <w:t>为主要负责人。检查器材或设备功能是否正常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如发现不正常，应在日登记表中记录并及时处理。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通讯联络组每周要对消防通信设备检查,应进行控制室与所设置的所有电话通话试验，电话插孔通话试验，通话应畅通,语音应清楚。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bookmarkStart w:id="11" w:name="_Toc8208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sz w:val="28"/>
          <w:szCs w:val="28"/>
        </w:rPr>
        <w:t>消火栓系统定期检查</w:t>
      </w:r>
      <w:bookmarkEnd w:id="11"/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消火栓箱应经常保持清洁、干燥，防止锈蚀、碰伤和其它损坏。每半年至少进行一次全面检查维修。检查要求为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: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①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消火栓和消防卷盘供水闸阀不应有渗漏现象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消防水枪、水带、消防卷盘及全部附件应齐全良好，卷盘转动灵活。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③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消火栓箱及箱内配装的消防部件的外观无破损、涂层无脱落,箱门玻璃完好无缺。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④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消火栓、供水阀门及消防卷盘等所有转动部位应定期加注润滑油。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bookmarkStart w:id="12" w:name="_Toc3478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4、</w:t>
      </w:r>
      <w:r>
        <w:rPr>
          <w:rFonts w:hint="eastAsia" w:ascii="仿宋" w:hAnsi="仿宋" w:eastAsia="仿宋" w:cs="仿宋"/>
          <w:sz w:val="28"/>
          <w:szCs w:val="28"/>
        </w:rPr>
        <w:t>灭火器材的定期检查</w:t>
      </w:r>
      <w:bookmarkEnd w:id="12"/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每周应对灭火器进行检查,确保其始终处于完好状态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检查要求为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: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①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检查灭火器铅封是否完好。灭火器已经开启后即使喷出不多,也必须按规定要求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再</w:t>
      </w:r>
      <w:r>
        <w:rPr>
          <w:rFonts w:hint="eastAsia" w:ascii="仿宋" w:hAnsi="仿宋" w:eastAsia="仿宋" w:cs="仿宋"/>
          <w:sz w:val="28"/>
          <w:szCs w:val="28"/>
        </w:rPr>
        <w:t>充装。充装后应作密封试验并牢固铅封。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检查压力表指针是否在绿色区域，如指针在红色区域，应查明原因，检修后重新灌装。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③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检查可见部位防腐层的完好程度,轻度脱落的应及时补好，明显腐蚀的应送消防专业维修部门进行耐压试验，合格者再进行防腐处理。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④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检查灭火器可见零件是否完整;有无变形、松动、锈蚀(如压杆)和损坏,装配是否合理。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检查喷嘴是否通畅，如有堵塞应及时疏通。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bookmarkStart w:id="13" w:name="_Toc1154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5、</w:t>
      </w:r>
      <w:r>
        <w:rPr>
          <w:rFonts w:hint="eastAsia" w:ascii="仿宋" w:hAnsi="仿宋" w:eastAsia="仿宋" w:cs="仿宋"/>
          <w:sz w:val="28"/>
          <w:szCs w:val="28"/>
        </w:rPr>
        <w:t>防护器材的定期检查</w:t>
      </w:r>
      <w:bookmarkEnd w:id="13"/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防毒面具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、口罩</w:t>
      </w:r>
      <w:r>
        <w:rPr>
          <w:rFonts w:hint="eastAsia" w:ascii="仿宋" w:hAnsi="仿宋" w:eastAsia="仿宋" w:cs="仿宋"/>
          <w:sz w:val="28"/>
          <w:szCs w:val="28"/>
        </w:rPr>
        <w:t>及空气呼吸器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等</w:t>
      </w:r>
      <w:r>
        <w:rPr>
          <w:rFonts w:hint="eastAsia" w:ascii="仿宋" w:hAnsi="仿宋" w:eastAsia="仿宋" w:cs="仿宋"/>
          <w:sz w:val="28"/>
          <w:szCs w:val="28"/>
        </w:rPr>
        <w:t>应经常保持清洁、干燥，防止锈蚀、剐伤和其它损坏。每半月至少进行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</w:t>
      </w:r>
      <w:r>
        <w:rPr>
          <w:rFonts w:hint="eastAsia" w:ascii="仿宋" w:hAnsi="仿宋" w:eastAsia="仿宋" w:cs="仿宋"/>
          <w:sz w:val="28"/>
          <w:szCs w:val="28"/>
        </w:rPr>
        <w:t>次全面检查维修。检查要求为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①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防毒面具有无破碎及剐伤，看是否老化。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对空气呼吸器的检查,应检查压力表指示是否在规定范围内。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抢险物资由专人负责管理，24小时值班，做好随时发放调运的各项准备。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6、</w:t>
      </w:r>
      <w:r>
        <w:rPr>
          <w:rFonts w:hint="eastAsia" w:ascii="仿宋" w:hAnsi="仿宋" w:eastAsia="仿宋" w:cs="仿宋"/>
          <w:sz w:val="28"/>
          <w:szCs w:val="28"/>
        </w:rPr>
        <w:t>按仓储管理制度的规定存储，每批（件）物品都应有明显标签（品名、编号、数量、质量和生产日期等），做到“实物、标签、台账”相符。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应急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办公室</w:t>
      </w:r>
      <w:r>
        <w:rPr>
          <w:rFonts w:hint="eastAsia" w:ascii="仿宋" w:hAnsi="仿宋" w:eastAsia="仿宋" w:cs="仿宋"/>
          <w:sz w:val="28"/>
          <w:szCs w:val="28"/>
        </w:rPr>
        <w:t>要设置明显的标志，搬运方便；库房内防潮、通风、防火、防盗、防鼠、防污染等设施齐全。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8、</w:t>
      </w:r>
      <w:r>
        <w:rPr>
          <w:rFonts w:hint="eastAsia" w:ascii="仿宋" w:hAnsi="仿宋" w:eastAsia="仿宋" w:cs="仿宋"/>
          <w:sz w:val="28"/>
          <w:szCs w:val="28"/>
        </w:rPr>
        <w:t>应急保障组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定期组织人员</w:t>
      </w:r>
      <w:r>
        <w:rPr>
          <w:rFonts w:hint="eastAsia" w:ascii="仿宋" w:hAnsi="仿宋" w:eastAsia="仿宋" w:cs="仿宋"/>
          <w:sz w:val="28"/>
          <w:szCs w:val="28"/>
        </w:rPr>
        <w:t>对各类抢险物资进行全面的检查和保养，对已损坏或过期的物资及时维修、更新，保证抢险物资完好无损。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9、</w:t>
      </w:r>
      <w:r>
        <w:rPr>
          <w:rFonts w:hint="eastAsia" w:ascii="仿宋" w:hAnsi="仿宋" w:eastAsia="仿宋" w:cs="仿宋"/>
          <w:sz w:val="28"/>
          <w:szCs w:val="28"/>
        </w:rPr>
        <w:t>应急保障组在接到调拨指令后，必须立即组织物资发送，指派专人押运物资到指定地点。未经公司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应急指挥部</w:t>
      </w:r>
      <w:r>
        <w:rPr>
          <w:rFonts w:hint="eastAsia" w:ascii="仿宋" w:hAnsi="仿宋" w:eastAsia="仿宋" w:cs="仿宋"/>
          <w:sz w:val="28"/>
          <w:szCs w:val="28"/>
        </w:rPr>
        <w:t>批准，任何单位和个人不得动用抢险物资。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10、</w:t>
      </w:r>
      <w:r>
        <w:rPr>
          <w:rFonts w:hint="eastAsia" w:ascii="仿宋" w:hAnsi="仿宋" w:eastAsia="仿宋" w:cs="仿宋"/>
          <w:sz w:val="28"/>
          <w:szCs w:val="28"/>
        </w:rPr>
        <w:t>物资部要掌握辖区及附近地区抢险物资的生产、库存、销售等市场动态，做好紧急情况下调用和组织物资的准备。</w:t>
      </w:r>
    </w:p>
    <w:p>
      <w:pPr>
        <w:pStyle w:val="8"/>
        <w:bidi w:val="0"/>
        <w:outlineLvl w:val="0"/>
        <w:rPr>
          <w:rFonts w:hint="eastAsia"/>
        </w:rPr>
      </w:pPr>
      <w:bookmarkStart w:id="14" w:name="_Toc21455"/>
      <w:r>
        <w:rPr>
          <w:rFonts w:hint="eastAsia"/>
          <w:lang w:eastAsia="zh-CN"/>
        </w:rPr>
        <w:t>五、</w:t>
      </w:r>
      <w:r>
        <w:rPr>
          <w:rFonts w:hint="eastAsia"/>
        </w:rPr>
        <w:t>附则</w:t>
      </w:r>
      <w:bookmarkEnd w:id="14"/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bookmarkStart w:id="15" w:name="_Toc30053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sz w:val="28"/>
          <w:szCs w:val="28"/>
        </w:rPr>
        <w:t>本制度由物资部负责解释。</w:t>
      </w:r>
      <w:bookmarkEnd w:id="15"/>
    </w:p>
    <w:p>
      <w:pPr>
        <w:spacing w:line="480" w:lineRule="exact"/>
        <w:ind w:firstLine="560" w:firstLineChars="200"/>
        <w:rPr>
          <w:rFonts w:hint="eastAsia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sz w:val="28"/>
          <w:szCs w:val="28"/>
        </w:rPr>
        <w:t>本制度自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应急预案</w:t>
      </w:r>
      <w:r>
        <w:rPr>
          <w:rFonts w:hint="eastAsia" w:ascii="仿宋" w:hAnsi="仿宋" w:eastAsia="仿宋" w:cs="仿宋"/>
          <w:sz w:val="28"/>
          <w:szCs w:val="28"/>
        </w:rPr>
        <w:t>发布之日起执行，公司原有制度与本制度不符的，以本制度为准。</w:t>
      </w:r>
    </w:p>
    <w:p>
      <w:pPr>
        <w:pStyle w:val="2"/>
        <w:ind w:left="0" w:leftChars="0" w:firstLine="0" w:firstLineChars="0"/>
        <w:rPr>
          <w:rFonts w:hint="eastAsia"/>
        </w:rPr>
      </w:pPr>
    </w:p>
    <w:sectPr>
      <w:pgSz w:w="11906" w:h="16838"/>
      <w:pgMar w:top="1417" w:right="1417" w:bottom="1247" w:left="1587" w:header="850" w:footer="680" w:gutter="0"/>
      <w:pgNumType w:fmt="decimal"/>
      <w:cols w:space="720" w:num="1"/>
      <w:rtlGutter w:val="0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modern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86959052"/>
      <w:docPartObj>
        <w:docPartGallery w:val="autotext"/>
      </w:docPartObj>
    </w:sdtPr>
    <w:sdtContent>
      <w:p>
        <w:pPr>
          <w:pStyle w:val="1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1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2OWVmMWNjMzUxYWY5ODAzODJhY2NjOWQ0NWIxN2MifQ=="/>
  </w:docVars>
  <w:rsids>
    <w:rsidRoot w:val="005D454E"/>
    <w:rsid w:val="00002E8E"/>
    <w:rsid w:val="00012321"/>
    <w:rsid w:val="00023429"/>
    <w:rsid w:val="0003005B"/>
    <w:rsid w:val="00035229"/>
    <w:rsid w:val="00035F66"/>
    <w:rsid w:val="000402CE"/>
    <w:rsid w:val="000516DF"/>
    <w:rsid w:val="00054A68"/>
    <w:rsid w:val="00054C35"/>
    <w:rsid w:val="000708C8"/>
    <w:rsid w:val="00071B20"/>
    <w:rsid w:val="00071B27"/>
    <w:rsid w:val="0007710C"/>
    <w:rsid w:val="000817EF"/>
    <w:rsid w:val="00093D7F"/>
    <w:rsid w:val="00097612"/>
    <w:rsid w:val="000A26A3"/>
    <w:rsid w:val="000A6774"/>
    <w:rsid w:val="000D22CD"/>
    <w:rsid w:val="000F5E75"/>
    <w:rsid w:val="0010207E"/>
    <w:rsid w:val="00106936"/>
    <w:rsid w:val="00113E78"/>
    <w:rsid w:val="0012288D"/>
    <w:rsid w:val="00144CC7"/>
    <w:rsid w:val="0014503D"/>
    <w:rsid w:val="00153656"/>
    <w:rsid w:val="00156EB5"/>
    <w:rsid w:val="00184AC6"/>
    <w:rsid w:val="001B69F8"/>
    <w:rsid w:val="001E0344"/>
    <w:rsid w:val="001E13D0"/>
    <w:rsid w:val="001F6F22"/>
    <w:rsid w:val="002065D0"/>
    <w:rsid w:val="00213915"/>
    <w:rsid w:val="002143BC"/>
    <w:rsid w:val="002237C0"/>
    <w:rsid w:val="00235E68"/>
    <w:rsid w:val="002372A2"/>
    <w:rsid w:val="002416F0"/>
    <w:rsid w:val="002710EF"/>
    <w:rsid w:val="00271A1C"/>
    <w:rsid w:val="00271FAF"/>
    <w:rsid w:val="002856AD"/>
    <w:rsid w:val="002A0188"/>
    <w:rsid w:val="002A53A3"/>
    <w:rsid w:val="002C601B"/>
    <w:rsid w:val="002D03A8"/>
    <w:rsid w:val="002D0E2A"/>
    <w:rsid w:val="002D3A09"/>
    <w:rsid w:val="002D6DF9"/>
    <w:rsid w:val="002D7900"/>
    <w:rsid w:val="002E6154"/>
    <w:rsid w:val="002F2A0E"/>
    <w:rsid w:val="002F65F3"/>
    <w:rsid w:val="003150BC"/>
    <w:rsid w:val="00320B49"/>
    <w:rsid w:val="00320CF3"/>
    <w:rsid w:val="00321121"/>
    <w:rsid w:val="00323E58"/>
    <w:rsid w:val="00330A3A"/>
    <w:rsid w:val="00331E6E"/>
    <w:rsid w:val="00332BAD"/>
    <w:rsid w:val="00337BDF"/>
    <w:rsid w:val="00350670"/>
    <w:rsid w:val="00351E06"/>
    <w:rsid w:val="00352886"/>
    <w:rsid w:val="00353E31"/>
    <w:rsid w:val="003654ED"/>
    <w:rsid w:val="00366F89"/>
    <w:rsid w:val="003700D6"/>
    <w:rsid w:val="00376C83"/>
    <w:rsid w:val="00377700"/>
    <w:rsid w:val="003809B9"/>
    <w:rsid w:val="00394A4D"/>
    <w:rsid w:val="00396029"/>
    <w:rsid w:val="003A3FBC"/>
    <w:rsid w:val="003A608E"/>
    <w:rsid w:val="003B37E2"/>
    <w:rsid w:val="003B5DFD"/>
    <w:rsid w:val="003C2CD2"/>
    <w:rsid w:val="003C6E83"/>
    <w:rsid w:val="003C73EB"/>
    <w:rsid w:val="003E013D"/>
    <w:rsid w:val="00400EFD"/>
    <w:rsid w:val="00415517"/>
    <w:rsid w:val="004167BB"/>
    <w:rsid w:val="00416D51"/>
    <w:rsid w:val="00434829"/>
    <w:rsid w:val="00437386"/>
    <w:rsid w:val="00441E99"/>
    <w:rsid w:val="00441EF4"/>
    <w:rsid w:val="00442083"/>
    <w:rsid w:val="00455954"/>
    <w:rsid w:val="00456CFF"/>
    <w:rsid w:val="0047201F"/>
    <w:rsid w:val="00482056"/>
    <w:rsid w:val="00487A48"/>
    <w:rsid w:val="00490662"/>
    <w:rsid w:val="00495506"/>
    <w:rsid w:val="004A5616"/>
    <w:rsid w:val="004B125E"/>
    <w:rsid w:val="004B7D02"/>
    <w:rsid w:val="004C53AB"/>
    <w:rsid w:val="004E0704"/>
    <w:rsid w:val="004F3B5A"/>
    <w:rsid w:val="005047E8"/>
    <w:rsid w:val="00521736"/>
    <w:rsid w:val="005240E7"/>
    <w:rsid w:val="00557731"/>
    <w:rsid w:val="00582354"/>
    <w:rsid w:val="005A4925"/>
    <w:rsid w:val="005A51CF"/>
    <w:rsid w:val="005B11C6"/>
    <w:rsid w:val="005B35A5"/>
    <w:rsid w:val="005C6765"/>
    <w:rsid w:val="005D454E"/>
    <w:rsid w:val="005F5B16"/>
    <w:rsid w:val="006235DD"/>
    <w:rsid w:val="0063106D"/>
    <w:rsid w:val="006342EB"/>
    <w:rsid w:val="006437F2"/>
    <w:rsid w:val="00650D3D"/>
    <w:rsid w:val="00660C20"/>
    <w:rsid w:val="00663388"/>
    <w:rsid w:val="006634A9"/>
    <w:rsid w:val="006647D2"/>
    <w:rsid w:val="006735E4"/>
    <w:rsid w:val="00676668"/>
    <w:rsid w:val="00681C0C"/>
    <w:rsid w:val="00697499"/>
    <w:rsid w:val="006A5D3C"/>
    <w:rsid w:val="006B217D"/>
    <w:rsid w:val="006C2730"/>
    <w:rsid w:val="006C5225"/>
    <w:rsid w:val="006D66C1"/>
    <w:rsid w:val="006E511A"/>
    <w:rsid w:val="006E78EF"/>
    <w:rsid w:val="006F0768"/>
    <w:rsid w:val="00730469"/>
    <w:rsid w:val="00751DD0"/>
    <w:rsid w:val="00754B43"/>
    <w:rsid w:val="00762BB6"/>
    <w:rsid w:val="007833E8"/>
    <w:rsid w:val="007874C5"/>
    <w:rsid w:val="007A06BC"/>
    <w:rsid w:val="007A5C6C"/>
    <w:rsid w:val="007F273D"/>
    <w:rsid w:val="007F4CE5"/>
    <w:rsid w:val="00836E01"/>
    <w:rsid w:val="0083707C"/>
    <w:rsid w:val="008449E6"/>
    <w:rsid w:val="00851008"/>
    <w:rsid w:val="008549E9"/>
    <w:rsid w:val="00860DF8"/>
    <w:rsid w:val="00882A3B"/>
    <w:rsid w:val="00894F88"/>
    <w:rsid w:val="008A0D1A"/>
    <w:rsid w:val="008C0DF5"/>
    <w:rsid w:val="008D370E"/>
    <w:rsid w:val="008D4654"/>
    <w:rsid w:val="008E2F3D"/>
    <w:rsid w:val="008E700E"/>
    <w:rsid w:val="008F3BF8"/>
    <w:rsid w:val="008F7DED"/>
    <w:rsid w:val="00915F27"/>
    <w:rsid w:val="00920B34"/>
    <w:rsid w:val="00944A5A"/>
    <w:rsid w:val="009701CD"/>
    <w:rsid w:val="009931B6"/>
    <w:rsid w:val="009959CF"/>
    <w:rsid w:val="009B03E4"/>
    <w:rsid w:val="009B6AFD"/>
    <w:rsid w:val="009D1DE8"/>
    <w:rsid w:val="009D2BFB"/>
    <w:rsid w:val="009E0269"/>
    <w:rsid w:val="009E0A32"/>
    <w:rsid w:val="009F4460"/>
    <w:rsid w:val="00A03B78"/>
    <w:rsid w:val="00A06288"/>
    <w:rsid w:val="00A21F42"/>
    <w:rsid w:val="00A32DEC"/>
    <w:rsid w:val="00A3695D"/>
    <w:rsid w:val="00A565C2"/>
    <w:rsid w:val="00A57671"/>
    <w:rsid w:val="00A613DD"/>
    <w:rsid w:val="00A73E42"/>
    <w:rsid w:val="00A76235"/>
    <w:rsid w:val="00A82E09"/>
    <w:rsid w:val="00A8777F"/>
    <w:rsid w:val="00AB7401"/>
    <w:rsid w:val="00AB750A"/>
    <w:rsid w:val="00AE2397"/>
    <w:rsid w:val="00AF20A7"/>
    <w:rsid w:val="00AF634F"/>
    <w:rsid w:val="00B0680E"/>
    <w:rsid w:val="00B07A92"/>
    <w:rsid w:val="00B12A46"/>
    <w:rsid w:val="00B16246"/>
    <w:rsid w:val="00B573A0"/>
    <w:rsid w:val="00B57ED5"/>
    <w:rsid w:val="00B71626"/>
    <w:rsid w:val="00B91C70"/>
    <w:rsid w:val="00BB1B76"/>
    <w:rsid w:val="00BE0E60"/>
    <w:rsid w:val="00BE24C7"/>
    <w:rsid w:val="00BE325D"/>
    <w:rsid w:val="00BF5EB8"/>
    <w:rsid w:val="00C32B7A"/>
    <w:rsid w:val="00C353CC"/>
    <w:rsid w:val="00C5292A"/>
    <w:rsid w:val="00C5342F"/>
    <w:rsid w:val="00C6127A"/>
    <w:rsid w:val="00C624B2"/>
    <w:rsid w:val="00C7347D"/>
    <w:rsid w:val="00C73C26"/>
    <w:rsid w:val="00C7408C"/>
    <w:rsid w:val="00C80A47"/>
    <w:rsid w:val="00C852DB"/>
    <w:rsid w:val="00C923BC"/>
    <w:rsid w:val="00C925DB"/>
    <w:rsid w:val="00C93CF9"/>
    <w:rsid w:val="00CA0713"/>
    <w:rsid w:val="00CB43AE"/>
    <w:rsid w:val="00CC5423"/>
    <w:rsid w:val="00CC63FA"/>
    <w:rsid w:val="00CE5C91"/>
    <w:rsid w:val="00D0518D"/>
    <w:rsid w:val="00D115D1"/>
    <w:rsid w:val="00D33F51"/>
    <w:rsid w:val="00D34307"/>
    <w:rsid w:val="00D47E2E"/>
    <w:rsid w:val="00D653E4"/>
    <w:rsid w:val="00D663D1"/>
    <w:rsid w:val="00D720A9"/>
    <w:rsid w:val="00D80D72"/>
    <w:rsid w:val="00D8709D"/>
    <w:rsid w:val="00D96003"/>
    <w:rsid w:val="00DA1319"/>
    <w:rsid w:val="00DC1220"/>
    <w:rsid w:val="00DC1ED2"/>
    <w:rsid w:val="00DE1AF8"/>
    <w:rsid w:val="00E109CC"/>
    <w:rsid w:val="00E1405E"/>
    <w:rsid w:val="00E17427"/>
    <w:rsid w:val="00E262E8"/>
    <w:rsid w:val="00E35A1E"/>
    <w:rsid w:val="00E35D9E"/>
    <w:rsid w:val="00E519D6"/>
    <w:rsid w:val="00E55D54"/>
    <w:rsid w:val="00E55D6C"/>
    <w:rsid w:val="00E56BEE"/>
    <w:rsid w:val="00E606E6"/>
    <w:rsid w:val="00E60CB0"/>
    <w:rsid w:val="00E64329"/>
    <w:rsid w:val="00E70A9C"/>
    <w:rsid w:val="00E84069"/>
    <w:rsid w:val="00E96AF9"/>
    <w:rsid w:val="00E9799C"/>
    <w:rsid w:val="00EA6D8B"/>
    <w:rsid w:val="00EB734B"/>
    <w:rsid w:val="00ED4D13"/>
    <w:rsid w:val="00ED7B06"/>
    <w:rsid w:val="00EE0A76"/>
    <w:rsid w:val="00F0617F"/>
    <w:rsid w:val="00F128D9"/>
    <w:rsid w:val="00F12987"/>
    <w:rsid w:val="00F40649"/>
    <w:rsid w:val="00F409AA"/>
    <w:rsid w:val="00F409BD"/>
    <w:rsid w:val="00F6545A"/>
    <w:rsid w:val="00F67838"/>
    <w:rsid w:val="00F67D9C"/>
    <w:rsid w:val="00FA245B"/>
    <w:rsid w:val="00FB0F70"/>
    <w:rsid w:val="00FB713D"/>
    <w:rsid w:val="00FB7696"/>
    <w:rsid w:val="00FB77DF"/>
    <w:rsid w:val="00FC4DBA"/>
    <w:rsid w:val="00FE51B5"/>
    <w:rsid w:val="00FF4E39"/>
    <w:rsid w:val="03C80A86"/>
    <w:rsid w:val="05265919"/>
    <w:rsid w:val="06396E04"/>
    <w:rsid w:val="0D537DF1"/>
    <w:rsid w:val="0EA70ED9"/>
    <w:rsid w:val="13D71101"/>
    <w:rsid w:val="17E733E9"/>
    <w:rsid w:val="1A881A74"/>
    <w:rsid w:val="1EC90FED"/>
    <w:rsid w:val="24FA251D"/>
    <w:rsid w:val="25554D6E"/>
    <w:rsid w:val="2ADB5120"/>
    <w:rsid w:val="2F0F6295"/>
    <w:rsid w:val="30116F61"/>
    <w:rsid w:val="35AC3EDD"/>
    <w:rsid w:val="3687114F"/>
    <w:rsid w:val="37A0554F"/>
    <w:rsid w:val="38062C4B"/>
    <w:rsid w:val="3C102D36"/>
    <w:rsid w:val="3D7C0427"/>
    <w:rsid w:val="3DBA3430"/>
    <w:rsid w:val="3DCE7D7F"/>
    <w:rsid w:val="3FB60024"/>
    <w:rsid w:val="42E76A6B"/>
    <w:rsid w:val="47F36384"/>
    <w:rsid w:val="4D686C8D"/>
    <w:rsid w:val="526870EA"/>
    <w:rsid w:val="576C6A79"/>
    <w:rsid w:val="5BC26AD7"/>
    <w:rsid w:val="60CE792D"/>
    <w:rsid w:val="60FF2356"/>
    <w:rsid w:val="643E537A"/>
    <w:rsid w:val="66F338D6"/>
    <w:rsid w:val="68D8314F"/>
    <w:rsid w:val="6A7A4073"/>
    <w:rsid w:val="6F495ED5"/>
    <w:rsid w:val="717D5C0D"/>
    <w:rsid w:val="726E7C76"/>
    <w:rsid w:val="72B91DB9"/>
    <w:rsid w:val="73300CE9"/>
    <w:rsid w:val="73CA0B45"/>
    <w:rsid w:val="75F97D00"/>
    <w:rsid w:val="779A58F3"/>
    <w:rsid w:val="78F837F7"/>
    <w:rsid w:val="791A7DB5"/>
    <w:rsid w:val="794630D8"/>
    <w:rsid w:val="7C4878A1"/>
    <w:rsid w:val="7D812D96"/>
    <w:rsid w:val="7ECC533A"/>
    <w:rsid w:val="7F334D7E"/>
    <w:rsid w:val="7FD77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iPriority="0" w:name="toc 1"/>
    <w:lsdException w:qFormat="1"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iPriority="99" w:semiHidden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qFormat="1" w:unhideWhenUsed="0" w:uiPriority="0" w:semiHidden="0" w:name="Body Text First Indent"/>
    <w:lsdException w:qFormat="1" w:uiPriority="99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link w:val="23"/>
    <w:qFormat/>
    <w:uiPriority w:val="0"/>
    <w:pPr>
      <w:spacing w:line="360" w:lineRule="auto"/>
      <w:jc w:val="left"/>
      <w:outlineLvl w:val="0"/>
    </w:pPr>
    <w:rPr>
      <w:b/>
      <w:sz w:val="28"/>
      <w:szCs w:val="30"/>
    </w:rPr>
  </w:style>
  <w:style w:type="paragraph" w:styleId="8">
    <w:name w:val="heading 2"/>
    <w:basedOn w:val="1"/>
    <w:next w:val="1"/>
    <w:unhideWhenUsed/>
    <w:qFormat/>
    <w:uiPriority w:val="0"/>
    <w:pPr>
      <w:keepNext/>
      <w:keepLines/>
      <w:ind w:firstLine="0" w:firstLineChars="0"/>
      <w:jc w:val="left"/>
      <w:outlineLvl w:val="1"/>
    </w:pPr>
    <w:rPr>
      <w:rFonts w:ascii="Times New Roman" w:hAnsi="Times New Roman" w:eastAsia="黑体"/>
      <w:color w:val="000000"/>
      <w:sz w:val="28"/>
      <w:szCs w:val="32"/>
    </w:rPr>
  </w:style>
  <w:style w:type="paragraph" w:styleId="9">
    <w:name w:val="heading 3"/>
    <w:basedOn w:val="1"/>
    <w:next w:val="1"/>
    <w:qFormat/>
    <w:uiPriority w:val="0"/>
    <w:pPr>
      <w:keepNext w:val="0"/>
      <w:keepLines w:val="0"/>
      <w:spacing w:line="360" w:lineRule="auto"/>
      <w:ind w:firstLine="0" w:firstLineChars="0"/>
      <w:jc w:val="left"/>
      <w:outlineLvl w:val="2"/>
    </w:pPr>
    <w:rPr>
      <w:rFonts w:ascii="Times New Roman" w:hAnsi="Times New Roman" w:eastAsia="黑体"/>
      <w:bCs/>
      <w:szCs w:val="32"/>
    </w:rPr>
  </w:style>
  <w:style w:type="paragraph" w:styleId="10">
    <w:name w:val="heading 4"/>
    <w:basedOn w:val="1"/>
    <w:next w:val="1"/>
    <w:qFormat/>
    <w:uiPriority w:val="0"/>
    <w:pPr>
      <w:keepNext/>
      <w:keepLines/>
      <w:spacing w:line="240" w:lineRule="auto"/>
      <w:ind w:firstLine="0" w:firstLineChars="0"/>
      <w:jc w:val="center"/>
      <w:outlineLvl w:val="3"/>
    </w:pPr>
    <w:rPr>
      <w:bCs/>
      <w:sz w:val="21"/>
      <w:szCs w:val="28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link w:val="36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link w:val="25"/>
    <w:unhideWhenUsed/>
    <w:qFormat/>
    <w:uiPriority w:val="99"/>
    <w:pPr>
      <w:spacing w:after="120"/>
      <w:ind w:left="420" w:leftChars="200"/>
    </w:pPr>
    <w:rPr>
      <w:rFonts w:ascii="Calibri" w:hAnsi="Calibri"/>
      <w:kern w:val="0"/>
      <w:sz w:val="20"/>
    </w:rPr>
  </w:style>
  <w:style w:type="paragraph" w:styleId="4">
    <w:name w:val="header"/>
    <w:basedOn w:val="1"/>
    <w:next w:val="5"/>
    <w:link w:val="2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样式5"/>
    <w:basedOn w:val="6"/>
    <w:next w:val="7"/>
    <w:qFormat/>
    <w:uiPriority w:val="0"/>
    <w:pPr>
      <w:numPr>
        <w:ilvl w:val="0"/>
        <w:numId w:val="0"/>
      </w:numPr>
      <w:tabs>
        <w:tab w:val="left" w:pos="432"/>
      </w:tabs>
      <w:spacing w:before="240" w:after="240" w:line="360" w:lineRule="atLeast"/>
      <w:ind w:left="432" w:hanging="432"/>
    </w:pPr>
    <w:rPr>
      <w:rFonts w:ascii="Times New Roman" w:hAnsi="Times New Roman" w:eastAsia="黑体"/>
      <w:color w:val="000000"/>
      <w:szCs w:val="30"/>
    </w:rPr>
  </w:style>
  <w:style w:type="paragraph" w:customStyle="1" w:styleId="7">
    <w:name w:val="图框文字"/>
    <w:basedOn w:val="1"/>
    <w:qFormat/>
    <w:uiPriority w:val="0"/>
    <w:pPr>
      <w:widowControl w:val="0"/>
      <w:jc w:val="center"/>
      <w:textAlignment w:val="center"/>
    </w:pPr>
    <w:rPr>
      <w:rFonts w:ascii="Times New Roman" w:hAnsi="Times New Roman"/>
      <w:kern w:val="2"/>
    </w:rPr>
  </w:style>
  <w:style w:type="paragraph" w:styleId="11">
    <w:name w:val="annotation text"/>
    <w:basedOn w:val="1"/>
    <w:link w:val="30"/>
    <w:qFormat/>
    <w:uiPriority w:val="0"/>
    <w:pPr>
      <w:jc w:val="left"/>
    </w:pPr>
  </w:style>
  <w:style w:type="paragraph" w:styleId="12">
    <w:name w:val="Balloon Text"/>
    <w:basedOn w:val="1"/>
    <w:link w:val="32"/>
    <w:qFormat/>
    <w:uiPriority w:val="0"/>
    <w:rPr>
      <w:sz w:val="18"/>
      <w:szCs w:val="18"/>
    </w:rPr>
  </w:style>
  <w:style w:type="paragraph" w:styleId="13">
    <w:name w:val="footer"/>
    <w:basedOn w:val="1"/>
    <w:link w:val="2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toc 1"/>
    <w:basedOn w:val="1"/>
    <w:next w:val="1"/>
    <w:semiHidden/>
    <w:unhideWhenUsed/>
    <w:qFormat/>
    <w:uiPriority w:val="0"/>
  </w:style>
  <w:style w:type="paragraph" w:styleId="15">
    <w:name w:val="toc 2"/>
    <w:basedOn w:val="1"/>
    <w:next w:val="1"/>
    <w:semiHidden/>
    <w:unhideWhenUsed/>
    <w:qFormat/>
    <w:uiPriority w:val="0"/>
    <w:pPr>
      <w:ind w:left="420" w:leftChars="200"/>
    </w:pPr>
  </w:style>
  <w:style w:type="paragraph" w:styleId="16">
    <w:name w:val="Title"/>
    <w:basedOn w:val="1"/>
    <w:next w:val="1"/>
    <w:link w:val="27"/>
    <w:qFormat/>
    <w:uiPriority w:val="0"/>
    <w:pPr>
      <w:spacing w:line="360" w:lineRule="auto"/>
      <w:jc w:val="center"/>
      <w:outlineLvl w:val="0"/>
    </w:pPr>
    <w:rPr>
      <w:rFonts w:ascii="Cambria" w:hAnsi="Cambria" w:cs="黑体"/>
      <w:b/>
      <w:bCs/>
      <w:sz w:val="32"/>
      <w:szCs w:val="32"/>
    </w:rPr>
  </w:style>
  <w:style w:type="paragraph" w:styleId="17">
    <w:name w:val="annotation subject"/>
    <w:basedOn w:val="11"/>
    <w:next w:val="11"/>
    <w:link w:val="31"/>
    <w:qFormat/>
    <w:uiPriority w:val="0"/>
    <w:rPr>
      <w:b/>
      <w:bCs/>
    </w:rPr>
  </w:style>
  <w:style w:type="paragraph" w:styleId="18">
    <w:name w:val="Body Text First Indent"/>
    <w:basedOn w:val="1"/>
    <w:qFormat/>
    <w:uiPriority w:val="0"/>
    <w:pPr>
      <w:adjustRightInd w:val="0"/>
      <w:snapToGrid w:val="0"/>
      <w:spacing w:line="500" w:lineRule="exact"/>
      <w:ind w:firstLine="480" w:firstLineChars="200"/>
    </w:pPr>
    <w:rPr>
      <w:snapToGrid w:val="0"/>
      <w:kern w:val="0"/>
      <w:sz w:val="24"/>
      <w:szCs w:val="18"/>
    </w:rPr>
  </w:style>
  <w:style w:type="table" w:styleId="20">
    <w:name w:val="Table Grid"/>
    <w:basedOn w:val="1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annotation reference"/>
    <w:basedOn w:val="21"/>
    <w:qFormat/>
    <w:uiPriority w:val="0"/>
    <w:rPr>
      <w:sz w:val="21"/>
      <w:szCs w:val="21"/>
    </w:rPr>
  </w:style>
  <w:style w:type="character" w:customStyle="1" w:styleId="23">
    <w:name w:val="标题 1 Char"/>
    <w:basedOn w:val="21"/>
    <w:link w:val="6"/>
    <w:qFormat/>
    <w:uiPriority w:val="0"/>
    <w:rPr>
      <w:b/>
      <w:kern w:val="2"/>
      <w:sz w:val="28"/>
      <w:szCs w:val="30"/>
    </w:rPr>
  </w:style>
  <w:style w:type="paragraph" w:customStyle="1" w:styleId="24">
    <w:name w:val="表格文字"/>
    <w:basedOn w:val="1"/>
    <w:qFormat/>
    <w:uiPriority w:val="0"/>
    <w:pPr>
      <w:spacing w:line="240" w:lineRule="auto"/>
      <w:ind w:firstLine="0" w:firstLineChars="0"/>
      <w:jc w:val="center"/>
    </w:pPr>
    <w:rPr>
      <w:rFonts w:ascii="Times New Roman" w:hAnsi="Times New Roman" w:eastAsia="宋体" w:cs="Times New Roman"/>
      <w:sz w:val="21"/>
    </w:rPr>
  </w:style>
  <w:style w:type="character" w:customStyle="1" w:styleId="25">
    <w:name w:val="正文文本缩进 Char"/>
    <w:link w:val="3"/>
    <w:qFormat/>
    <w:uiPriority w:val="99"/>
    <w:rPr>
      <w:rFonts w:ascii="Calibri" w:hAnsi="Calibri"/>
      <w:szCs w:val="24"/>
    </w:rPr>
  </w:style>
  <w:style w:type="paragraph" w:customStyle="1" w:styleId="2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7">
    <w:name w:val="标题 Char"/>
    <w:basedOn w:val="21"/>
    <w:link w:val="16"/>
    <w:qFormat/>
    <w:uiPriority w:val="0"/>
    <w:rPr>
      <w:rFonts w:ascii="Cambria" w:hAnsi="Cambria" w:cs="黑体"/>
      <w:b/>
      <w:bCs/>
      <w:kern w:val="2"/>
      <w:sz w:val="32"/>
      <w:szCs w:val="32"/>
    </w:rPr>
  </w:style>
  <w:style w:type="character" w:customStyle="1" w:styleId="28">
    <w:name w:val="页眉 Char"/>
    <w:basedOn w:val="21"/>
    <w:link w:val="4"/>
    <w:qFormat/>
    <w:uiPriority w:val="0"/>
    <w:rPr>
      <w:kern w:val="2"/>
      <w:sz w:val="18"/>
      <w:szCs w:val="18"/>
    </w:rPr>
  </w:style>
  <w:style w:type="character" w:customStyle="1" w:styleId="29">
    <w:name w:val="页脚 Char"/>
    <w:basedOn w:val="21"/>
    <w:link w:val="13"/>
    <w:qFormat/>
    <w:uiPriority w:val="99"/>
    <w:rPr>
      <w:kern w:val="2"/>
      <w:sz w:val="18"/>
      <w:szCs w:val="18"/>
    </w:rPr>
  </w:style>
  <w:style w:type="character" w:customStyle="1" w:styleId="30">
    <w:name w:val="批注文字 Char"/>
    <w:basedOn w:val="21"/>
    <w:link w:val="11"/>
    <w:qFormat/>
    <w:uiPriority w:val="0"/>
    <w:rPr>
      <w:kern w:val="2"/>
      <w:sz w:val="21"/>
      <w:szCs w:val="24"/>
    </w:rPr>
  </w:style>
  <w:style w:type="character" w:customStyle="1" w:styleId="31">
    <w:name w:val="批注主题 Char"/>
    <w:basedOn w:val="30"/>
    <w:link w:val="17"/>
    <w:qFormat/>
    <w:uiPriority w:val="0"/>
    <w:rPr>
      <w:b/>
      <w:bCs/>
      <w:kern w:val="2"/>
      <w:sz w:val="21"/>
      <w:szCs w:val="24"/>
    </w:rPr>
  </w:style>
  <w:style w:type="character" w:customStyle="1" w:styleId="32">
    <w:name w:val="批注框文本 Char"/>
    <w:basedOn w:val="21"/>
    <w:link w:val="12"/>
    <w:qFormat/>
    <w:uiPriority w:val="0"/>
    <w:rPr>
      <w:kern w:val="2"/>
      <w:sz w:val="18"/>
      <w:szCs w:val="18"/>
    </w:rPr>
  </w:style>
  <w:style w:type="table" w:customStyle="1" w:styleId="33">
    <w:name w:val="1"/>
    <w:basedOn w:val="19"/>
    <w:qFormat/>
    <w:uiPriority w:val="99"/>
    <w:pPr>
      <w:jc w:val="center"/>
    </w:pPr>
    <w:rPr>
      <w:rFonts w:ascii="等线" w:hAnsi="等线" w:eastAsia="Times New Roman"/>
      <w:sz w:val="21"/>
    </w:rPr>
    <w:tblPr>
      <w:tblBorders>
        <w:top w:val="single" w:color="auto" w:sz="12" w:space="0"/>
        <w:bottom w:val="single" w:color="auto" w:sz="12" w:space="0"/>
        <w:insideH w:val="single" w:color="auto" w:sz="4" w:space="0"/>
        <w:insideV w:val="single" w:color="auto" w:sz="4" w:space="0"/>
      </w:tblBorders>
    </w:tblPr>
    <w:tcPr>
      <w:vAlign w:val="center"/>
    </w:tcPr>
  </w:style>
  <w:style w:type="character" w:customStyle="1" w:styleId="34">
    <w:name w:val="tpc_content1"/>
    <w:basedOn w:val="21"/>
    <w:qFormat/>
    <w:uiPriority w:val="0"/>
    <w:rPr>
      <w:sz w:val="20"/>
      <w:szCs w:val="20"/>
    </w:rPr>
  </w:style>
  <w:style w:type="character" w:customStyle="1" w:styleId="35">
    <w:name w:val="正文文本缩进 字符1"/>
    <w:basedOn w:val="21"/>
    <w:semiHidden/>
    <w:qFormat/>
    <w:uiPriority w:val="0"/>
    <w:rPr>
      <w:kern w:val="2"/>
      <w:sz w:val="21"/>
      <w:szCs w:val="24"/>
    </w:rPr>
  </w:style>
  <w:style w:type="character" w:customStyle="1" w:styleId="36">
    <w:name w:val="正文首行缩进 2 Char"/>
    <w:basedOn w:val="25"/>
    <w:link w:val="2"/>
    <w:qFormat/>
    <w:uiPriority w:val="99"/>
    <w:rPr>
      <w:rFonts w:ascii="Calibri" w:hAnsi="Calibri"/>
      <w:szCs w:val="24"/>
    </w:rPr>
  </w:style>
  <w:style w:type="character" w:customStyle="1" w:styleId="37">
    <w:name w:val="正文首行缩进 2 字符1"/>
    <w:basedOn w:val="25"/>
    <w:semiHidden/>
    <w:qFormat/>
    <w:uiPriority w:val="0"/>
    <w:rPr>
      <w:rFonts w:ascii="Calibri" w:hAnsi="Calibri"/>
      <w:kern w:val="2"/>
      <w:sz w:val="21"/>
      <w:szCs w:val="24"/>
    </w:rPr>
  </w:style>
  <w:style w:type="paragraph" w:customStyle="1" w:styleId="38">
    <w:name w:val="样式 正文文本缩进 + 行距: 1.5 倍行距"/>
    <w:basedOn w:val="3"/>
    <w:qFormat/>
    <w:uiPriority w:val="0"/>
    <w:pPr>
      <w:spacing w:line="360" w:lineRule="auto"/>
      <w:ind w:left="90" w:leftChars="32" w:firstLine="560"/>
    </w:pPr>
    <w:rPr>
      <w:rFonts w:cs="宋体"/>
      <w:szCs w:val="20"/>
    </w:rPr>
  </w:style>
  <w:style w:type="paragraph" w:customStyle="1" w:styleId="39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40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A6DD8D1-F504-4105-8261-6570DB7EC5A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8</Pages>
  <Words>2410</Words>
  <Characters>2471</Characters>
  <Lines>24</Lines>
  <Paragraphs>6</Paragraphs>
  <TotalTime>0</TotalTime>
  <ScaleCrop>false</ScaleCrop>
  <LinksUpToDate>false</LinksUpToDate>
  <CharactersWithSpaces>2527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2018-05-15T23:54:00Z</dcterms:created>
  <dc:creator>微软用户</dc:creator>
  <cp:lastModifiedBy>ZR</cp:lastModifiedBy>
  <dcterms:modified xsi:type="dcterms:W3CDTF">2022-10-18T01:48:33Z</dcterms:modified>
  <dc:title>介休市龙凤炭素制品有限公司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AD00CE8B03074F5C8C8AA4B454D31C4E</vt:lpwstr>
  </property>
</Properties>
</file>